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sz w:val="44"/>
          <w:szCs w:val="44"/>
        </w:rPr>
      </w:pPr>
    </w:p>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sz w:val="48"/>
          <w:szCs w:val="48"/>
        </w:rPr>
      </w:pPr>
    </w:p>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sz w:val="48"/>
          <w:szCs w:val="48"/>
        </w:rPr>
      </w:pPr>
    </w:p>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sz w:val="48"/>
          <w:szCs w:val="48"/>
        </w:rPr>
      </w:pPr>
    </w:p>
    <w:p>
      <w:pPr>
        <w:pageBreakBefore w:val="0"/>
        <w:widowControl w:val="0"/>
        <w:kinsoku/>
        <w:wordWrap/>
        <w:overflowPunct/>
        <w:topLinePunct w:val="0"/>
        <w:autoSpaceDE/>
        <w:autoSpaceDN/>
        <w:bidi w:val="0"/>
        <w:adjustRightInd/>
        <w:snapToGrid/>
        <w:spacing w:beforeAutospacing="0" w:afterAutospacing="0" w:line="560" w:lineRule="exact"/>
        <w:textAlignment w:val="auto"/>
        <w:outlineLvl w:val="9"/>
        <w:rPr>
          <w:rFonts w:hint="eastAsia"/>
          <w:sz w:val="44"/>
          <w:szCs w:val="44"/>
        </w:rPr>
      </w:pPr>
      <w:r>
        <w:rPr>
          <w:rFonts w:hint="eastAsia"/>
          <w:sz w:val="44"/>
          <w:szCs w:val="44"/>
        </w:rPr>
        <w:t>机电技术应用人才培养方案</w:t>
      </w:r>
    </w:p>
    <w:p>
      <w:pPr>
        <w:pStyle w:val="5"/>
        <w:pageBreakBefore w:val="0"/>
        <w:widowControl w:val="0"/>
        <w:kinsoku/>
        <w:wordWrap/>
        <w:overflowPunct/>
        <w:topLinePunct w:val="0"/>
        <w:autoSpaceDE/>
        <w:autoSpaceDN/>
        <w:bidi w:val="0"/>
        <w:adjustRightInd/>
        <w:snapToGrid/>
        <w:spacing w:before="0" w:beforeAutospacing="0" w:after="0" w:afterAutospacing="0" w:line="560" w:lineRule="exact"/>
        <w:textAlignment w:val="auto"/>
        <w:outlineLvl w:val="9"/>
      </w:pPr>
    </w:p>
    <w:p>
      <w:pPr>
        <w:pageBreakBefore w:val="0"/>
        <w:widowControl w:val="0"/>
        <w:kinsoku/>
        <w:wordWrap/>
        <w:overflowPunct/>
        <w:topLinePunct w:val="0"/>
        <w:autoSpaceDE/>
        <w:autoSpaceDN/>
        <w:bidi w:val="0"/>
        <w:adjustRightInd/>
        <w:snapToGrid/>
        <w:spacing w:beforeAutospacing="0" w:afterAutospacing="0" w:line="560" w:lineRule="exact"/>
        <w:textAlignment w:val="auto"/>
      </w:pPr>
    </w:p>
    <w:p>
      <w:pPr>
        <w:pageBreakBefore w:val="0"/>
        <w:widowControl w:val="0"/>
        <w:kinsoku/>
        <w:wordWrap/>
        <w:overflowPunct/>
        <w:topLinePunct w:val="0"/>
        <w:autoSpaceDE/>
        <w:autoSpaceDN/>
        <w:bidi w:val="0"/>
        <w:adjustRightInd/>
        <w:snapToGrid/>
        <w:spacing w:beforeAutospacing="0" w:afterAutospacing="0" w:line="560" w:lineRule="exact"/>
        <w:textAlignment w:val="auto"/>
      </w:pPr>
    </w:p>
    <w:p>
      <w:pPr>
        <w:pageBreakBefore w:val="0"/>
        <w:widowControl w:val="0"/>
        <w:kinsoku/>
        <w:wordWrap/>
        <w:overflowPunct/>
        <w:topLinePunct w:val="0"/>
        <w:autoSpaceDE/>
        <w:autoSpaceDN/>
        <w:bidi w:val="0"/>
        <w:adjustRightInd/>
        <w:snapToGrid/>
        <w:spacing w:beforeAutospacing="0" w:afterAutospacing="0" w:line="560" w:lineRule="exact"/>
        <w:textAlignment w:val="auto"/>
      </w:pPr>
    </w:p>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rPr>
      </w:pPr>
    </w:p>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rPr>
      </w:pPr>
    </w:p>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rPr>
      </w:pPr>
    </w:p>
    <w:p>
      <w:pPr>
        <w:pageBreakBefore w:val="0"/>
        <w:widowControl w:val="0"/>
        <w:kinsoku/>
        <w:wordWrap/>
        <w:overflowPunct/>
        <w:topLinePunct w:val="0"/>
        <w:autoSpaceDE/>
        <w:autoSpaceDN/>
        <w:bidi w:val="0"/>
        <w:adjustRightInd/>
        <w:snapToGrid/>
        <w:spacing w:beforeAutospacing="0" w:afterAutospacing="0" w:line="560" w:lineRule="exact"/>
        <w:textAlignment w:val="auto"/>
      </w:pPr>
    </w:p>
    <w:p>
      <w:pPr>
        <w:pageBreakBefore w:val="0"/>
        <w:widowControl w:val="0"/>
        <w:kinsoku/>
        <w:wordWrap/>
        <w:overflowPunct/>
        <w:topLinePunct w:val="0"/>
        <w:autoSpaceDE/>
        <w:autoSpaceDN/>
        <w:bidi w:val="0"/>
        <w:adjustRightInd/>
        <w:snapToGrid/>
        <w:spacing w:beforeAutospacing="0" w:afterAutospacing="0" w:line="560" w:lineRule="exact"/>
        <w:textAlignment w:val="auto"/>
      </w:pPr>
    </w:p>
    <w:p>
      <w:pPr>
        <w:pageBreakBefore w:val="0"/>
        <w:widowControl w:val="0"/>
        <w:kinsoku/>
        <w:wordWrap/>
        <w:overflowPunct/>
        <w:topLinePunct w:val="0"/>
        <w:autoSpaceDE/>
        <w:autoSpaceDN/>
        <w:bidi w:val="0"/>
        <w:adjustRightInd/>
        <w:snapToGrid/>
        <w:spacing w:beforeAutospacing="0" w:afterAutospacing="0" w:line="560" w:lineRule="exact"/>
        <w:jc w:val="both"/>
        <w:textAlignment w:val="auto"/>
      </w:pPr>
    </w:p>
    <w:p>
      <w:pPr>
        <w:pageBreakBefore w:val="0"/>
        <w:widowControl w:val="0"/>
        <w:kinsoku/>
        <w:wordWrap/>
        <w:overflowPunct/>
        <w:topLinePunct w:val="0"/>
        <w:autoSpaceDE/>
        <w:autoSpaceDN/>
        <w:bidi w:val="0"/>
        <w:adjustRightInd/>
        <w:snapToGrid/>
        <w:spacing w:beforeAutospacing="0" w:afterAutospacing="0" w:line="560" w:lineRule="exact"/>
        <w:textAlignment w:val="auto"/>
      </w:pPr>
    </w:p>
    <w:p>
      <w:pPr>
        <w:pageBreakBefore w:val="0"/>
        <w:widowControl w:val="0"/>
        <w:kinsoku/>
        <w:wordWrap/>
        <w:overflowPunct/>
        <w:topLinePunct w:val="0"/>
        <w:autoSpaceDE/>
        <w:autoSpaceDN/>
        <w:bidi w:val="0"/>
        <w:adjustRightInd/>
        <w:snapToGrid/>
        <w:spacing w:beforeAutospacing="0" w:afterAutospacing="0" w:line="560" w:lineRule="exact"/>
        <w:textAlignment w:val="auto"/>
      </w:pPr>
    </w:p>
    <w:p>
      <w:pPr>
        <w:pageBreakBefore w:val="0"/>
        <w:widowControl w:val="0"/>
        <w:kinsoku/>
        <w:wordWrap/>
        <w:overflowPunct/>
        <w:topLinePunct w:val="0"/>
        <w:autoSpaceDE/>
        <w:autoSpaceDN/>
        <w:bidi w:val="0"/>
        <w:adjustRightInd/>
        <w:snapToGrid/>
        <w:spacing w:beforeAutospacing="0" w:afterAutospacing="0" w:line="560" w:lineRule="exact"/>
        <w:textAlignment w:val="auto"/>
        <w:outlineLvl w:val="9"/>
        <w:rPr>
          <w:rFonts w:hint="eastAsia" w:ascii="楷体" w:hAnsi="楷体" w:eastAsia="楷体" w:cs="楷体"/>
          <w:sz w:val="32"/>
          <w:szCs w:val="32"/>
        </w:rPr>
      </w:pPr>
      <w:r>
        <w:rPr>
          <w:rFonts w:hint="eastAsia" w:ascii="楷体" w:hAnsi="楷体" w:eastAsia="楷体" w:cs="楷体"/>
          <w:sz w:val="32"/>
          <w:szCs w:val="32"/>
        </w:rPr>
        <w:t>威海智慧谷职业中等专业学校</w:t>
      </w:r>
    </w:p>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楷体" w:hAnsi="楷体" w:eastAsia="楷体" w:cs="楷体"/>
          <w:b/>
          <w:bCs/>
          <w:spacing w:val="-43"/>
          <w:sz w:val="32"/>
          <w:szCs w:val="32"/>
        </w:rPr>
        <w:sectPr>
          <w:pgSz w:w="11906" w:h="16838"/>
          <w:pgMar w:top="2098" w:right="1474" w:bottom="1985" w:left="1588" w:header="851" w:footer="992" w:gutter="0"/>
          <w:cols w:space="425" w:num="1"/>
          <w:docGrid w:type="lines" w:linePitch="312" w:charSpace="0"/>
        </w:sectPr>
      </w:pPr>
      <w:r>
        <w:rPr>
          <w:rFonts w:hint="eastAsia" w:ascii="楷体" w:hAnsi="楷体" w:eastAsia="楷体" w:cs="楷体"/>
          <w:sz w:val="32"/>
          <w:szCs w:val="32"/>
        </w:rPr>
        <w:t>2024年</w:t>
      </w:r>
      <w:r>
        <w:rPr>
          <w:rFonts w:hint="eastAsia" w:ascii="楷体" w:hAnsi="楷体" w:eastAsia="楷体" w:cs="楷体"/>
          <w:sz w:val="32"/>
          <w:szCs w:val="32"/>
          <w:lang w:val="en-US" w:eastAsia="zh-CN"/>
        </w:rPr>
        <w:t>3</w:t>
      </w:r>
      <w:r>
        <w:rPr>
          <w:rFonts w:hint="eastAsia" w:ascii="楷体" w:hAnsi="楷体" w:eastAsia="楷体" w:cs="楷体"/>
          <w:sz w:val="32"/>
          <w:szCs w:val="32"/>
        </w:rPr>
        <w:t>月</w:t>
      </w:r>
    </w:p>
    <w:p>
      <w:pPr>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目</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录</w:t>
      </w:r>
    </w:p>
    <w:p>
      <w:pPr>
        <w:pStyle w:val="10"/>
        <w:tabs>
          <w:tab w:val="right" w:leader="dot" w:pos="8844"/>
        </w:tabs>
        <w:rPr>
          <w:rFonts w:hint="eastAsia" w:ascii="仿宋_GB2312" w:hAnsi="仿宋_GB2312" w:eastAsia="仿宋_GB2312" w:cs="仿宋_GB2312"/>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_Toc4899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shd w:val="clear" w:color="auto" w:fill="FFFFFF"/>
        </w:rPr>
        <w:t>一、专业名称及专业代码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_Toc4899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_Toc32048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shd w:val="clear" w:color="auto" w:fill="FFFFFF"/>
        </w:rPr>
        <w:t>二、招生对象</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_Toc32048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_Toc18091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rPr>
        <w:t>三、</w:t>
      </w:r>
      <w:r>
        <w:rPr>
          <w:rFonts w:hint="eastAsia" w:ascii="仿宋_GB2312" w:hAnsi="仿宋_GB2312" w:eastAsia="仿宋_GB2312" w:cs="仿宋_GB2312"/>
          <w:kern w:val="0"/>
          <w:sz w:val="32"/>
          <w:szCs w:val="32"/>
          <w:shd w:val="clear" w:color="auto" w:fill="FFFFFF"/>
          <w:lang w:eastAsia="zh-CN"/>
        </w:rPr>
        <w:t>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_Toc18091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_Toc12677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_Toc12677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_Toc16518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rPr>
        <w:t>五、培养目标与规格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_Toc16518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_Toc29827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rPr>
        <w:t>（</w:t>
      </w:r>
      <w:r>
        <w:rPr>
          <w:rFonts w:hint="eastAsia" w:ascii="仿宋_GB2312" w:hAnsi="仿宋_GB2312" w:eastAsia="仿宋_GB2312" w:cs="仿宋_GB2312"/>
          <w:kern w:val="0"/>
          <w:sz w:val="32"/>
          <w:szCs w:val="32"/>
          <w:shd w:val="clear" w:color="auto" w:fill="FFFFFF"/>
          <w:lang w:eastAsia="zh-CN"/>
        </w:rPr>
        <w:t>一）</w:t>
      </w:r>
      <w:r>
        <w:rPr>
          <w:rFonts w:hint="eastAsia" w:ascii="仿宋_GB2312" w:hAnsi="仿宋_GB2312" w:eastAsia="仿宋_GB2312" w:cs="仿宋_GB2312"/>
          <w:kern w:val="0"/>
          <w:sz w:val="32"/>
          <w:szCs w:val="32"/>
          <w:shd w:val="clear" w:color="auto" w:fill="FFFFFF"/>
        </w:rPr>
        <w:t>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_Toc29827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_Toc1662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rPr>
        <w:t>（二</w:t>
      </w:r>
      <w:r>
        <w:rPr>
          <w:rFonts w:hint="eastAsia" w:ascii="仿宋_GB2312" w:hAnsi="仿宋_GB2312" w:eastAsia="仿宋_GB2312" w:cs="仿宋_GB2312"/>
          <w:kern w:val="0"/>
          <w:sz w:val="32"/>
          <w:szCs w:val="32"/>
          <w:shd w:val="clear" w:color="auto" w:fill="FFFFFF"/>
          <w:lang w:eastAsia="zh-CN"/>
        </w:rPr>
        <w:t>）</w:t>
      </w:r>
      <w:r>
        <w:rPr>
          <w:rFonts w:hint="eastAsia" w:ascii="仿宋_GB2312" w:hAnsi="仿宋_GB2312" w:eastAsia="仿宋_GB2312" w:cs="仿宋_GB2312"/>
          <w:kern w:val="0"/>
          <w:sz w:val="32"/>
          <w:szCs w:val="32"/>
          <w:shd w:val="clear" w:color="auto" w:fill="FFFFFF"/>
        </w:rPr>
        <w:t>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_Toc5096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rPr>
        <w:t>六、课程设置及要求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_Toc5096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_Toc31239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rPr>
        <w:t>（一）公共基础课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_Toc31239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_Toc21312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（二）专业（技能）课程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_Toc21312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_Toc16579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（三）选修课程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_Toc16579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_Toc30948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七、教学进程总体安排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_Toc30948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_Toc18937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八、实施保障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_Toc18937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_Toc14338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rPr>
        <w:t>（一）师资队伍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_Toc14338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_Toc8444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_Toc8444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_Toc2045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_Toc31640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_Toc31640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_Toc15263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_Toc11507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（六）质量管理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_Toc11507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_Toc32492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九、毕业要求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_Toc32492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8844"/>
        </w:tabs>
        <w:rPr>
          <w:rFonts w:hint="eastAsia" w:ascii="仿宋" w:hAnsi="仿宋" w:eastAsia="仿宋" w:cs="仿宋"/>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_Toc10386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十、技能训练与考证建议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_Toc10386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eastAsia" w:ascii="仿宋" w:hAnsi="仿宋" w:eastAsia="仿宋" w:cs="仿宋"/>
          <w:sz w:val="32"/>
          <w:szCs w:val="32"/>
        </w:rPr>
        <w:sectPr>
          <w:footerReference r:id="rId5" w:type="default"/>
          <w:pgSz w:w="11906" w:h="16838"/>
          <w:pgMar w:top="2098" w:right="1474" w:bottom="1985" w:left="1588" w:header="851" w:footer="992" w:gutter="0"/>
          <w:pgNumType w:start="1"/>
          <w:cols w:space="425" w:num="1"/>
          <w:docGrid w:type="lines" w:linePitch="312" w:charSpace="0"/>
        </w:sectPr>
      </w:pPr>
      <w:r>
        <w:rPr>
          <w:rFonts w:hint="eastAsia" w:ascii="仿宋" w:hAnsi="仿宋" w:eastAsia="仿宋" w:cs="仿宋"/>
          <w:sz w:val="32"/>
          <w:szCs w:val="32"/>
        </w:rPr>
        <w:fldChar w:fldCharType="end"/>
      </w:r>
    </w:p>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outlineLvl w:val="9"/>
        <w:rPr>
          <w:sz w:val="44"/>
          <w:szCs w:val="44"/>
        </w:rPr>
      </w:pPr>
      <w:r>
        <w:rPr>
          <w:rFonts w:hint="eastAsia"/>
          <w:sz w:val="44"/>
          <w:szCs w:val="44"/>
        </w:rPr>
        <w:t>机电技术应用专业人才培养方案</w:t>
      </w:r>
    </w:p>
    <w:p>
      <w:pPr>
        <w:pageBreakBefore w:val="0"/>
        <w:widowControl w:val="0"/>
        <w:kinsoku/>
        <w:wordWrap/>
        <w:overflowPunct/>
        <w:topLinePunct w:val="0"/>
        <w:autoSpaceDE/>
        <w:autoSpaceDN/>
        <w:bidi w:val="0"/>
        <w:adjustRightInd/>
        <w:snapToGrid/>
        <w:spacing w:beforeAutospacing="0" w:afterAutospacing="0" w:line="560" w:lineRule="exact"/>
        <w:textAlignment w:val="auto"/>
      </w:pPr>
    </w:p>
    <w:p>
      <w:pPr>
        <w:pStyle w:val="12"/>
        <w:pageBreakBefore w:val="0"/>
        <w:widowControl w:val="0"/>
        <w:kinsoku/>
        <w:wordWrap/>
        <w:overflowPunct/>
        <w:topLinePunct w:val="0"/>
        <w:autoSpaceDE/>
        <w:autoSpaceDN/>
        <w:bidi w:val="0"/>
        <w:adjustRightInd/>
        <w:snapToGrid/>
        <w:spacing w:beforeAutospacing="0" w:afterAutospacing="0" w:line="560" w:lineRule="exact"/>
        <w:textAlignment w:val="auto"/>
        <w:outlineLvl w:val="0"/>
        <w:rPr>
          <w:rFonts w:hint="eastAsia" w:ascii="黑体" w:hAnsi="黑体" w:eastAsia="黑体" w:cs="黑体"/>
          <w:b w:val="0"/>
          <w:bCs w:val="0"/>
          <w:sz w:val="32"/>
          <w:szCs w:val="32"/>
        </w:rPr>
      </w:pPr>
      <w:bookmarkStart w:id="0" w:name="_Toc4899"/>
      <w:r>
        <w:rPr>
          <w:rFonts w:hint="eastAsia" w:ascii="黑体" w:hAnsi="黑体" w:eastAsia="黑体" w:cs="黑体"/>
          <w:b w:val="0"/>
          <w:bCs w:val="0"/>
          <w:sz w:val="32"/>
          <w:szCs w:val="32"/>
          <w:shd w:val="clear" w:color="auto" w:fill="FFFFFF"/>
        </w:rPr>
        <w:t>一、</w:t>
      </w:r>
      <w:r>
        <w:rPr>
          <w:rStyle w:val="17"/>
          <w:rFonts w:hint="eastAsia" w:ascii="黑体" w:hAnsi="黑体" w:eastAsia="黑体" w:cs="黑体"/>
          <w:b w:val="0"/>
          <w:bCs w:val="0"/>
          <w:sz w:val="32"/>
          <w:szCs w:val="32"/>
          <w:shd w:val="clear" w:color="auto" w:fill="FFFFFF"/>
        </w:rPr>
        <w:t>专业名称及专业代码</w:t>
      </w:r>
      <w:bookmarkEnd w:id="0"/>
    </w:p>
    <w:p>
      <w:pPr>
        <w:pStyle w:val="12"/>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1.专业大类：装备制造类（代码：66）</w:t>
      </w:r>
    </w:p>
    <w:p>
      <w:pPr>
        <w:pStyle w:val="12"/>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2.专业类别：自动化类（代码：6603）</w:t>
      </w:r>
    </w:p>
    <w:p>
      <w:pPr>
        <w:pStyle w:val="12"/>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3.专业名称：机电技术应用（代码：660301）</w:t>
      </w:r>
    </w:p>
    <w:p>
      <w:pPr>
        <w:pStyle w:val="12"/>
        <w:pageBreakBefore w:val="0"/>
        <w:widowControl w:val="0"/>
        <w:kinsoku/>
        <w:wordWrap/>
        <w:overflowPunct/>
        <w:topLinePunct w:val="0"/>
        <w:autoSpaceDE/>
        <w:autoSpaceDN/>
        <w:bidi w:val="0"/>
        <w:adjustRightInd/>
        <w:snapToGrid/>
        <w:spacing w:beforeAutospacing="0" w:afterAutospacing="0" w:line="560" w:lineRule="exact"/>
        <w:textAlignment w:val="auto"/>
        <w:outlineLvl w:val="0"/>
        <w:rPr>
          <w:rStyle w:val="17"/>
          <w:rFonts w:hint="eastAsia" w:ascii="黑体" w:hAnsi="黑体" w:eastAsia="黑体" w:cs="黑体"/>
          <w:b w:val="0"/>
          <w:bCs w:val="0"/>
          <w:sz w:val="32"/>
          <w:szCs w:val="32"/>
          <w:shd w:val="clear" w:color="auto" w:fill="FFFFFF"/>
        </w:rPr>
      </w:pPr>
      <w:bookmarkStart w:id="1" w:name="_Toc32048"/>
      <w:r>
        <w:rPr>
          <w:rStyle w:val="17"/>
          <w:rFonts w:hint="eastAsia" w:ascii="黑体" w:hAnsi="黑体" w:eastAsia="黑体" w:cs="黑体"/>
          <w:b w:val="0"/>
          <w:bCs w:val="0"/>
          <w:sz w:val="32"/>
          <w:szCs w:val="32"/>
          <w:shd w:val="clear" w:color="auto" w:fill="FFFFFF"/>
        </w:rPr>
        <w:t>二、招生对象</w:t>
      </w:r>
      <w:bookmarkEnd w:id="1"/>
    </w:p>
    <w:p>
      <w:pPr>
        <w:pStyle w:val="12"/>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初中毕业生或具有同等学</w:t>
      </w:r>
      <w:r>
        <w:rPr>
          <w:rFonts w:hint="eastAsia" w:ascii="仿宋_GB2312" w:hAnsi="仿宋_GB2312" w:eastAsia="仿宋_GB2312" w:cs="仿宋_GB2312"/>
          <w:sz w:val="32"/>
          <w:szCs w:val="32"/>
          <w:shd w:val="clear" w:color="auto" w:fill="FFFFFF"/>
          <w:lang w:eastAsia="zh-CN"/>
        </w:rPr>
        <w:t>力</w:t>
      </w:r>
      <w:r>
        <w:rPr>
          <w:rFonts w:hint="eastAsia" w:ascii="仿宋_GB2312" w:hAnsi="仿宋_GB2312" w:eastAsia="仿宋_GB2312" w:cs="仿宋_GB2312"/>
          <w:sz w:val="32"/>
          <w:szCs w:val="32"/>
          <w:shd w:val="clear" w:color="auto" w:fill="FFFFFF"/>
        </w:rPr>
        <w:t>者</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0"/>
        <w:rPr>
          <w:rStyle w:val="17"/>
          <w:rFonts w:hint="eastAsia" w:ascii="仿宋" w:hAnsi="仿宋" w:eastAsia="仿宋" w:cs="仿宋"/>
          <w:b w:val="0"/>
          <w:bCs w:val="0"/>
          <w:kern w:val="0"/>
          <w:sz w:val="32"/>
          <w:szCs w:val="32"/>
          <w:shd w:val="clear" w:color="auto" w:fill="FFFFFF"/>
        </w:rPr>
      </w:pPr>
      <w:bookmarkStart w:id="2" w:name="_Toc18091"/>
      <w:r>
        <w:rPr>
          <w:rStyle w:val="17"/>
          <w:rFonts w:hint="eastAsia" w:ascii="黑体" w:hAnsi="黑体" w:eastAsia="黑体" w:cs="黑体"/>
          <w:b w:val="0"/>
          <w:bCs w:val="0"/>
          <w:kern w:val="0"/>
          <w:sz w:val="32"/>
          <w:szCs w:val="32"/>
          <w:shd w:val="clear" w:color="auto" w:fill="FFFFFF"/>
        </w:rPr>
        <w:t>三、</w:t>
      </w:r>
      <w:bookmarkEnd w:id="2"/>
      <w:r>
        <w:rPr>
          <w:rStyle w:val="17"/>
          <w:rFonts w:hint="eastAsia" w:ascii="黑体" w:hAnsi="黑体" w:eastAsia="黑体" w:cs="黑体"/>
          <w:b w:val="0"/>
          <w:bCs w:val="0"/>
          <w:kern w:val="0"/>
          <w:sz w:val="32"/>
          <w:szCs w:val="32"/>
          <w:shd w:val="clear" w:color="auto" w:fill="FFFFFF"/>
          <w:lang w:eastAsia="zh-CN"/>
        </w:rPr>
        <w:t>修业年限</w:t>
      </w:r>
      <w:r>
        <w:rPr>
          <w:rStyle w:val="17"/>
          <w:rFonts w:hint="eastAsia" w:ascii="仿宋" w:hAnsi="仿宋" w:eastAsia="仿宋" w:cs="仿宋"/>
          <w:b w:val="0"/>
          <w:bCs w:val="0"/>
          <w:kern w:val="0"/>
          <w:sz w:val="32"/>
          <w:szCs w:val="32"/>
          <w:shd w:val="clear" w:color="auto" w:fill="FFFFFF"/>
        </w:rPr>
        <w:t xml:space="preserve"> </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 w:hAnsi="仿宋" w:eastAsia="仿宋" w:cs="仿宋"/>
          <w:sz w:val="32"/>
          <w:szCs w:val="32"/>
        </w:rPr>
      </w:pPr>
      <w:r>
        <w:rPr>
          <w:rStyle w:val="17"/>
          <w:rFonts w:hint="eastAsia" w:ascii="仿宋" w:hAnsi="仿宋" w:eastAsia="仿宋" w:cs="仿宋"/>
          <w:b w:val="0"/>
          <w:kern w:val="0"/>
          <w:sz w:val="32"/>
          <w:szCs w:val="32"/>
          <w:shd w:val="clear" w:color="auto" w:fill="FFFFFF"/>
        </w:rPr>
        <w:t xml:space="preserve">   </w:t>
      </w:r>
      <w:r>
        <w:rPr>
          <w:rFonts w:hint="eastAsia" w:ascii="仿宋" w:hAnsi="仿宋" w:eastAsia="仿宋" w:cs="仿宋"/>
          <w:sz w:val="32"/>
          <w:szCs w:val="32"/>
        </w:rPr>
        <w:t xml:space="preserve"> </w:t>
      </w:r>
      <w:r>
        <w:rPr>
          <w:rFonts w:hint="eastAsia" w:ascii="仿宋_GB2312" w:hAnsi="仿宋_GB2312" w:eastAsia="仿宋_GB2312" w:cs="仿宋_GB2312"/>
          <w:sz w:val="32"/>
          <w:szCs w:val="32"/>
        </w:rPr>
        <w:t>基本学制：</w:t>
      </w:r>
      <w:r>
        <w:rPr>
          <w:rFonts w:hint="eastAsia" w:ascii="仿宋_GB2312" w:hAnsi="仿宋_GB2312" w:eastAsia="仿宋_GB2312" w:cs="仿宋_GB2312"/>
          <w:kern w:val="0"/>
          <w:sz w:val="32"/>
          <w:szCs w:val="32"/>
          <w:shd w:val="clear" w:color="auto" w:fill="FFFFFF"/>
        </w:rPr>
        <w:t>三年</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0"/>
        <w:rPr>
          <w:rStyle w:val="17"/>
          <w:rFonts w:hint="eastAsia" w:ascii="黑体" w:hAnsi="黑体" w:eastAsia="黑体" w:cs="黑体"/>
          <w:b w:val="0"/>
          <w:bCs w:val="0"/>
          <w:kern w:val="0"/>
          <w:sz w:val="32"/>
          <w:szCs w:val="32"/>
          <w:shd w:val="clear" w:color="auto" w:fill="FFFFFF"/>
        </w:rPr>
      </w:pPr>
      <w:bookmarkStart w:id="3" w:name="_Toc12677"/>
      <w:r>
        <w:rPr>
          <w:rStyle w:val="17"/>
          <w:rFonts w:hint="eastAsia" w:ascii="黑体" w:hAnsi="黑体" w:eastAsia="黑体" w:cs="黑体"/>
          <w:b w:val="0"/>
          <w:bCs w:val="0"/>
          <w:kern w:val="0"/>
          <w:sz w:val="32"/>
          <w:szCs w:val="32"/>
          <w:shd w:val="clear" w:color="auto" w:fill="FFFFFF"/>
        </w:rPr>
        <w:t>四、职业面向</w:t>
      </w:r>
      <w:bookmarkEnd w:id="3"/>
    </w:p>
    <w:p>
      <w:pPr>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kern w:val="0"/>
          <w:sz w:val="32"/>
          <w:szCs w:val="32"/>
          <w:shd w:val="clear" w:color="auto" w:fill="FFFFFF"/>
        </w:rPr>
      </w:pPr>
      <w:r>
        <w:rPr>
          <w:rFonts w:hint="eastAsia" w:ascii="仿宋" w:eastAsia="仿宋" w:cs="仿宋"/>
          <w:kern w:val="0"/>
          <w:sz w:val="32"/>
          <w:szCs w:val="32"/>
          <w:shd w:val="clear" w:color="auto" w:fill="FFFFFF"/>
          <w:lang w:val="en-US" w:eastAsia="zh-CN"/>
        </w:rPr>
        <w:t xml:space="preserve">    </w:t>
      </w:r>
      <w:r>
        <w:rPr>
          <w:rFonts w:hint="eastAsia" w:ascii="仿宋_GB2312" w:hAnsi="仿宋_GB2312" w:eastAsia="仿宋_GB2312" w:cs="仿宋_GB2312"/>
          <w:kern w:val="0"/>
          <w:sz w:val="32"/>
          <w:szCs w:val="32"/>
          <w:shd w:val="clear" w:color="auto" w:fill="FFFFFF"/>
        </w:rPr>
        <w:t>机电技术应用专业是一种以机电技术为基础，将机电工程、电子技术、自动化技术、计算机技术、传感技术、通信技术、互联网技术等融合起来。并结合具体实际应用的高级技术学科。该专业的毕业生可在机电产品制造、机电设备管理、机电系统集成、工业自动化、设备研发及应用等方面担任。技术工程师、研发工程师、技术总监等职位，也可以从事销售、市场开发等行业工作。</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就业方向：</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1.产品设计研发。主要负责汽车、家电、航空航海、工程机械、机床、非标设备等的设计，也可以成为模具设计师，生产的模具用于制作成型物品。</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2.产品的生产制造及各种设备的维修。主要负责产品的生产工艺，会编程，会调试设备、修理设备，成为技术工人。</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3.自动控制。主要负责产品的智能控制，自动化生产，用机械手臂取代人力劳动，实现人工智能。</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0"/>
        <w:rPr>
          <w:rStyle w:val="17"/>
          <w:rFonts w:hint="eastAsia" w:ascii="黑体" w:hAnsi="黑体" w:eastAsia="黑体" w:cs="黑体"/>
          <w:b w:val="0"/>
          <w:bCs w:val="0"/>
          <w:kern w:val="0"/>
          <w:sz w:val="32"/>
          <w:szCs w:val="32"/>
          <w:shd w:val="clear" w:color="auto" w:fill="FFFFFF"/>
        </w:rPr>
      </w:pPr>
      <w:bookmarkStart w:id="4" w:name="_Toc16518"/>
      <w:r>
        <w:rPr>
          <w:rStyle w:val="17"/>
          <w:rFonts w:hint="eastAsia" w:ascii="黑体" w:hAnsi="黑体" w:eastAsia="黑体" w:cs="黑体"/>
          <w:b w:val="0"/>
          <w:bCs w:val="0"/>
          <w:kern w:val="0"/>
          <w:sz w:val="32"/>
          <w:szCs w:val="32"/>
          <w:shd w:val="clear" w:color="auto" w:fill="FFFFFF"/>
        </w:rPr>
        <w:t>五、培养目标与规格</w:t>
      </w:r>
      <w:bookmarkEnd w:id="4"/>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Fonts w:hint="eastAsia"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 xml:space="preserve">  </w:t>
      </w:r>
      <w:r>
        <w:rPr>
          <w:rFonts w:hint="eastAsia" w:ascii="仿宋" w:eastAsia="仿宋" w:cs="仿宋"/>
          <w:kern w:val="0"/>
          <w:sz w:val="32"/>
          <w:szCs w:val="32"/>
          <w:shd w:val="clear" w:color="auto" w:fill="FFFFFF"/>
          <w:lang w:val="en-US" w:eastAsia="zh-CN"/>
        </w:rPr>
        <w:t xml:space="preserve">  </w:t>
      </w:r>
      <w:bookmarkStart w:id="5" w:name="_Toc29827"/>
      <w:r>
        <w:rPr>
          <w:rFonts w:hint="eastAsia" w:ascii="楷体" w:hAnsi="楷体" w:eastAsia="楷体" w:cs="楷体"/>
          <w:kern w:val="0"/>
          <w:sz w:val="32"/>
          <w:szCs w:val="32"/>
          <w:shd w:val="clear" w:color="auto" w:fill="FFFFFF"/>
        </w:rPr>
        <w:t>(一)培养目标</w:t>
      </w:r>
      <w:bookmarkEnd w:id="5"/>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本专业培养与我国社会主叉现代化建设要求相适应，德、智、体、美全面开展，热爱社会主义祖国，具有良好的职业道德、职业意识、职业纪律、职业习惯、忠于职守的敬业精神，掌握技术工人所必需的基本理论、基本技能，能进行机械产品的加工和现代设备的操作，具有机电设备、自动化设备和生产线的安装、调试、运行、维修与检测的能力，并能掌握必需的文化科学基础知识和专业基础知识，有健康的身体和心理，具有较强实践、就业能力，职业生涯开展能力和一定的创业能力的高素质劳动者和技能型人才。</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Style w:val="17"/>
          <w:rFonts w:hint="eastAsia" w:ascii="仿宋" w:hAnsi="仿宋" w:eastAsia="仿宋" w:cs="仿宋"/>
          <w:b w:val="0"/>
          <w:kern w:val="0"/>
          <w:sz w:val="32"/>
          <w:szCs w:val="32"/>
          <w:shd w:val="clear" w:color="auto" w:fill="FFFFFF"/>
        </w:rPr>
      </w:pPr>
      <w:r>
        <w:rPr>
          <w:rFonts w:hint="eastAsia" w:ascii="仿宋" w:hAnsi="仿宋" w:eastAsia="仿宋" w:cs="仿宋"/>
          <w:kern w:val="0"/>
          <w:sz w:val="32"/>
          <w:szCs w:val="32"/>
          <w:shd w:val="clear" w:color="auto" w:fill="FFFFFF"/>
        </w:rPr>
        <w:t xml:space="preserve">  </w:t>
      </w:r>
      <w:bookmarkStart w:id="6" w:name="_Toc1662"/>
      <w:r>
        <w:rPr>
          <w:rFonts w:hint="eastAsia" w:ascii="楷体" w:hAnsi="楷体" w:eastAsia="楷体" w:cs="楷体"/>
          <w:kern w:val="0"/>
          <w:sz w:val="32"/>
          <w:szCs w:val="32"/>
          <w:shd w:val="clear" w:color="auto" w:fill="FFFFFF"/>
        </w:rPr>
        <w:t>（二）培养规格</w:t>
      </w:r>
      <w:bookmarkEnd w:id="6"/>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1</w:t>
      </w:r>
      <w:r>
        <w:rPr>
          <w:rFonts w:hint="eastAsia" w:ascii="仿宋_GB2312" w:hAnsi="仿宋_GB2312" w:eastAsia="仿宋_GB2312" w:cs="仿宋_GB2312"/>
          <w:kern w:val="0"/>
          <w:sz w:val="32"/>
          <w:szCs w:val="32"/>
          <w:shd w:val="clear" w:color="auto" w:fill="FFFFFF"/>
          <w:lang w:val="en-US" w:eastAsia="zh-CN"/>
        </w:rPr>
        <w:t>.</w:t>
      </w:r>
      <w:r>
        <w:rPr>
          <w:rFonts w:hint="eastAsia" w:ascii="仿宋_GB2312" w:hAnsi="仿宋_GB2312" w:eastAsia="仿宋_GB2312" w:cs="仿宋_GB2312"/>
          <w:kern w:val="0"/>
          <w:sz w:val="32"/>
          <w:szCs w:val="32"/>
          <w:shd w:val="clear" w:color="auto" w:fill="FFFFFF"/>
        </w:rPr>
        <w:t>具有本专业必须的文化基础知识，基本的欣赏美创造美的能力，具有读图和制图的基本知识、具有本专业所必须的机械基本理论知识。</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2</w:t>
      </w:r>
      <w:r>
        <w:rPr>
          <w:rFonts w:hint="eastAsia" w:ascii="仿宋_GB2312" w:hAnsi="仿宋_GB2312" w:eastAsia="仿宋_GB2312" w:cs="仿宋_GB2312"/>
          <w:kern w:val="0"/>
          <w:sz w:val="32"/>
          <w:szCs w:val="32"/>
          <w:shd w:val="clear" w:color="auto" w:fill="FFFFFF"/>
          <w:lang w:val="en-US" w:eastAsia="zh-CN"/>
        </w:rPr>
        <w:t>.</w:t>
      </w:r>
      <w:r>
        <w:rPr>
          <w:rFonts w:hint="eastAsia" w:ascii="仿宋_GB2312" w:hAnsi="仿宋_GB2312" w:eastAsia="仿宋_GB2312" w:cs="仿宋_GB2312"/>
          <w:kern w:val="0"/>
          <w:sz w:val="32"/>
          <w:szCs w:val="32"/>
          <w:shd w:val="clear" w:color="auto" w:fill="FFFFFF"/>
        </w:rPr>
        <w:t>具有一定的实践动手能力和创新精神，对新知识、新技术、新工艺等的再继续学习能力，具有查阅、收集、处理、保存相关信息资料的能力。</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3</w:t>
      </w:r>
      <w:r>
        <w:rPr>
          <w:rFonts w:hint="eastAsia" w:ascii="仿宋_GB2312" w:hAnsi="仿宋_GB2312" w:eastAsia="仿宋_GB2312" w:cs="仿宋_GB2312"/>
          <w:kern w:val="0"/>
          <w:sz w:val="32"/>
          <w:szCs w:val="32"/>
          <w:shd w:val="clear" w:color="auto" w:fill="FFFFFF"/>
          <w:lang w:val="en-US" w:eastAsia="zh-CN"/>
        </w:rPr>
        <w:t>.</w:t>
      </w:r>
      <w:r>
        <w:rPr>
          <w:rFonts w:hint="eastAsia" w:ascii="仿宋_GB2312" w:hAnsi="仿宋_GB2312" w:eastAsia="仿宋_GB2312" w:cs="仿宋_GB2312"/>
          <w:kern w:val="0"/>
          <w:sz w:val="32"/>
          <w:szCs w:val="32"/>
          <w:shd w:val="clear" w:color="auto" w:fill="FFFFFF"/>
        </w:rPr>
        <w:t>具有平安生产、节约资源、环境意识，吃苦耐劳精神，有健康的体魄和心理。</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 w:hAnsi="仿宋" w:eastAsia="仿宋" w:cs="仿宋"/>
          <w:kern w:val="0"/>
          <w:sz w:val="32"/>
          <w:szCs w:val="32"/>
          <w:shd w:val="clear" w:color="auto" w:fill="FFFFFF"/>
        </w:rPr>
      </w:pPr>
      <w:r>
        <w:rPr>
          <w:rFonts w:hint="eastAsia" w:ascii="仿宋_GB2312" w:hAnsi="仿宋_GB2312" w:eastAsia="仿宋_GB2312" w:cs="仿宋_GB2312"/>
          <w:kern w:val="0"/>
          <w:sz w:val="32"/>
          <w:szCs w:val="32"/>
          <w:shd w:val="clear" w:color="auto" w:fill="FFFFFF"/>
        </w:rPr>
        <w:t>4</w:t>
      </w:r>
      <w:r>
        <w:rPr>
          <w:rFonts w:hint="eastAsia" w:ascii="仿宋_GB2312" w:hAnsi="仿宋_GB2312" w:eastAsia="仿宋_GB2312" w:cs="仿宋_GB2312"/>
          <w:kern w:val="0"/>
          <w:sz w:val="32"/>
          <w:szCs w:val="32"/>
          <w:shd w:val="clear" w:color="auto" w:fill="FFFFFF"/>
          <w:lang w:val="en-US" w:eastAsia="zh-CN"/>
        </w:rPr>
        <w:t>.</w:t>
      </w:r>
      <w:r>
        <w:rPr>
          <w:rFonts w:hint="eastAsia" w:ascii="仿宋_GB2312" w:hAnsi="仿宋_GB2312" w:eastAsia="仿宋_GB2312" w:cs="仿宋_GB2312"/>
          <w:kern w:val="0"/>
          <w:sz w:val="32"/>
          <w:szCs w:val="32"/>
          <w:shd w:val="clear" w:color="auto" w:fill="FFFFFF"/>
        </w:rPr>
        <w:t>具有良好的职业道德，团队合作能力，人际交往能力，热爱祖国、服务人民，遵守相应的法律、法规，获取与本专业工种相关的1-2个中级工以上的职业资格证书。</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0"/>
        <w:rPr>
          <w:rFonts w:hint="eastAsia" w:ascii="黑体" w:hAnsi="黑体" w:eastAsia="黑体" w:cs="黑体"/>
          <w:b w:val="0"/>
          <w:bCs w:val="0"/>
          <w:kern w:val="0"/>
          <w:sz w:val="32"/>
          <w:szCs w:val="32"/>
          <w:shd w:val="clear" w:color="auto" w:fill="FFFFFF"/>
        </w:rPr>
      </w:pPr>
      <w:bookmarkStart w:id="7" w:name="_Toc5096"/>
      <w:r>
        <w:rPr>
          <w:rFonts w:hint="eastAsia" w:ascii="黑体" w:hAnsi="黑体" w:eastAsia="黑体" w:cs="黑体"/>
          <w:b w:val="0"/>
          <w:bCs w:val="0"/>
          <w:kern w:val="0"/>
          <w:sz w:val="32"/>
          <w:szCs w:val="32"/>
          <w:shd w:val="clear" w:color="auto" w:fill="FFFFFF"/>
        </w:rPr>
        <w:t>六、课程设置及要求</w:t>
      </w:r>
      <w:bookmarkEnd w:id="7"/>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Fonts w:hint="eastAsia" w:ascii="仿宋" w:hAnsi="仿宋" w:eastAsia="仿宋" w:cs="仿宋"/>
          <w:sz w:val="32"/>
          <w:szCs w:val="32"/>
        </w:rPr>
      </w:pPr>
      <w:r>
        <w:rPr>
          <w:rFonts w:hint="eastAsia" w:ascii="仿宋" w:hAnsi="仿宋" w:eastAsia="仿宋" w:cs="仿宋"/>
          <w:kern w:val="0"/>
          <w:sz w:val="32"/>
          <w:szCs w:val="32"/>
          <w:shd w:val="clear" w:color="auto" w:fill="FFFFFF"/>
        </w:rPr>
        <w:t xml:space="preserve">  </w:t>
      </w:r>
      <w:bookmarkStart w:id="8" w:name="_Toc31239"/>
      <w:r>
        <w:rPr>
          <w:rFonts w:hint="eastAsia" w:ascii="楷体" w:hAnsi="楷体" w:eastAsia="楷体" w:cs="楷体"/>
          <w:kern w:val="0"/>
          <w:sz w:val="32"/>
          <w:szCs w:val="32"/>
          <w:shd w:val="clear" w:color="auto" w:fill="FFFFFF"/>
        </w:rPr>
        <w:t>（一）公共基础课</w:t>
      </w:r>
      <w:bookmarkEnd w:id="8"/>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rPr>
        <w:t xml:space="preserve">   </w:t>
      </w:r>
      <w:r>
        <w:rPr>
          <w:rFonts w:hint="eastAsia" w:ascii="仿宋_GB2312" w:hAnsi="仿宋_GB2312" w:eastAsia="仿宋_GB2312" w:cs="仿宋_GB2312"/>
          <w:sz w:val="32"/>
          <w:szCs w:val="32"/>
        </w:rPr>
        <w:t xml:space="preserve"> 1.德育</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等职业学校德育课是学校德育工作的主导渠道，是各专业学生必修的基础课，是学校实施素质教育的重要内容，本课程主要讲授经济与政治、哲学、法律等内容。德育课的主要任务是针对性地对学生进行、思想和理论基本观点教育，辩证唯物主义基本观点教育，经济与政治基础知识教育，法纪法制教育，文明礼仪、行为规范教育，职业道德、职业理想和创业教育和心理健康教育，引导学生逐步树立正确的世界观、人生观和价值观，不断提高爱国主义、集体主义和社会主义思想觉悟，具有健康的心理，帮助学生树立正确的择业观、创业观，进行职业生涯设计，培养良好的思想政治素质和职业道德素养。</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2.语文</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记叙文、说明文、议论文、应用文等，进行规范的听、说、读、写、查综合训练。提高学生正确理解和运用祖国语言文字的能力。使学生能比较熟练的阅读一般的政治、科技、文艺著作和专业应用文；能借助工具书阅读浅显的文言文、具备初步的文学艺术鉴赏能力，能熟练写作一般性文章和专业应用文；会、整理信息材料、写规范汉字；能说较标准的普通话，有较好的口头表达能力。</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3.数学</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要讲授初等数学（代数、三角、平面解析几何等）和必需的工程数学内容。培养学生基本运算、基本计算工具的使用、空间想象和简单实际应用、一定的逻辑思维能力，从而逐步提高运用数学方法分析问题的能力，为学习专业和以后进一步学习现代科技打下一定的基础。</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英语</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本课程以培养学生外语应用能力为教学重点，同时传授必要的外语语言知识。通过教学，对学生进行听、说、读、写的语言训练，使学生能听懂简单的对话和短文，懂简单应用文。</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体育与劳动</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通过体育基础理论、基本技能的传授和有效的体育实践，全面增强学生体质，促进学生身心的健康开展。使学生喜爱体育，掌握锻炼身体的基本方法，养成体育锻炼的习惯培养学生勇敢顽强的精神，公平竞争的态度，以及乐观、自信进取的心理品质。</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计算机应用基础</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在初中相关课程的基础上，进一步学习计算机的基础知识、掌握 Windows 操作系统、 Word 文字处理软件的使用，了解计算机网络的基本操作和使用，具有文字处理能力，数据处理能力，信息获取能力，网上交互能力，为以后的学习和工作打下基础。</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Fonts w:hint="eastAsia" w:ascii="仿宋" w:hAnsi="仿宋" w:eastAsia="仿宋" w:cs="仿宋"/>
          <w:sz w:val="32"/>
          <w:szCs w:val="32"/>
        </w:rPr>
      </w:pPr>
      <w:r>
        <w:rPr>
          <w:rFonts w:hint="eastAsia" w:ascii="仿宋" w:hAnsi="仿宋" w:eastAsia="仿宋" w:cs="仿宋"/>
          <w:sz w:val="32"/>
          <w:szCs w:val="32"/>
        </w:rPr>
        <w:t xml:space="preserve">  </w:t>
      </w:r>
      <w:bookmarkStart w:id="9" w:name="_Toc21312"/>
      <w:r>
        <w:rPr>
          <w:rFonts w:hint="eastAsia" w:ascii="楷体" w:hAnsi="楷体" w:eastAsia="楷体" w:cs="楷体"/>
          <w:sz w:val="32"/>
          <w:szCs w:val="32"/>
        </w:rPr>
        <w:t>（二）专业（技能）课程</w:t>
      </w:r>
      <w:bookmarkEnd w:id="9"/>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rPr>
        <w:t xml:space="preserve">  </w:t>
      </w:r>
      <w:r>
        <w:rPr>
          <w:rFonts w:hint="eastAsia" w:ascii="仿宋" w:eastAsia="仿宋" w:cs="仿宋"/>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1.机械制图</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投影作图和机械制图等内容，使学生掌握正投影法的基本理论和作图方法：能够执行制图国家标准和相关的行业标准；具有识读和绘制简单件图和装配图的基本能力；具有一定的空间想像和思维能力；能够正确地使用常用的绘图工具：了解计算机绘图的基本知识，了解形位公差、装配、检测的基本知识，具有创新精神和实践能力。</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2.机械基础</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本课程主要讲授机械工程材料、机械原理与零件等内容。使学生了解构件的受力分析、基本变形形式和强度计算方法：了解常用机械工程材料的种类、牌号、性能和应用：了解机</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器的组成；熟悉机械传动和机械零件的工作原理、结构特点、实践应用，初步具有分析一般机器的功能和原理的能力，熟悉常见机械的结构、应用，能应用于实际生产。</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3.金属加工与热处理</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包括技术测量及常用器具、金属材料的性能及常用工程材料、钢的热处理、铸造、锻压、焊接、金属切削加工的基础知识、切削加工设备及应用和零件生产过程的基础知识等内容。了解车床夹具的结构原理、定位基准和中等复杂工件装夹的方法。</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4.电工与电子技术</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直流电路和单相正弦交流电路、三相交流电路、交直流电机、变压器、半导体器件知识，稳压电路、放大电路、运放电路。使学生掌握直、交流电路的基本规律和计算方法，了解正弦交流电的基本概念，了解交直流电机、变压器的结构，初步掌握半导体器件的特性和整流、稳压、放大、运放等基本电路的工作原理和分析方法，初步掌握脉冲与数字电路的基本知识及集成电路的基本知识。</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5.电器及 PLC 控制技术</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可编程序控制器，使学生掌握可编程序控制器的操作，能运用编程工具读写程序；能进行指令和梯形图的相互转换。掌握步进控制、顺序控制的编程技术和调试方法，具备机电技术应用专业必需的电器及 PLC 控制技术的基本知识及应用能力。</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6.液压与气动</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初步掌握液压和气压传动中常用元件的原理和使用；掌握典型液压与气压传动回路的原理、特点和应用：能分析常用机电设备的液压、气动系统图。</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本课程主要讲授变压器、直流电动机、交流异步电动机、特种电机的结构及工作原理，电动机的基本控制电路，了解常用机床控制电路的组成及工作原理。</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7.专业大类通用技能训练</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电子实习：常用电子元器件识别和检测，基本技能训练，简单电路的安装、调试。通过实习使学生初步掌握正确选用常用电子元器件的能力，正确使用常用电子仪器、仪表的能力。</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电工实习：本课程内容主要有常用电工仪表的使用、电工材料的选用、电工基本操作，通过实习使学生能使用基本电工仪表，熟悉电工基本操作方法工艺，了解 PLC 的应用。</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钳工实习：本课程实习内容为钳工基本技能，锯、锉、钻孔、铰孔、攻丝等，通过实习使学生掌握钳工常用工具、量具、刃具的使用；掌握钳工基本操作技能和加工方法。能加工中等复杂零件和简单的组合件。</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8.机电设备安装与检测技术</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本课程主要讲授起重机、电梯、泵、风机、空压机和内燃机的结构及工作原理。使学生具备所必需的通用机械设备方面的基本知识和基本技能，能正确选用、调试、使用、维修、保养常用的通用机械设备。</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Fonts w:hint="eastAsia" w:ascii="仿宋" w:hAnsi="仿宋" w:eastAsia="仿宋" w:cs="仿宋"/>
          <w:sz w:val="32"/>
          <w:szCs w:val="32"/>
        </w:rPr>
      </w:pPr>
      <w:r>
        <w:rPr>
          <w:rFonts w:hint="eastAsia" w:ascii="仿宋" w:hAnsi="仿宋" w:eastAsia="仿宋" w:cs="仿宋"/>
          <w:sz w:val="32"/>
          <w:szCs w:val="32"/>
        </w:rPr>
        <w:t xml:space="preserve">   </w:t>
      </w:r>
      <w:bookmarkStart w:id="10" w:name="_Toc16579"/>
      <w:r>
        <w:rPr>
          <w:rFonts w:hint="eastAsia" w:ascii="楷体" w:hAnsi="楷体" w:eastAsia="楷体" w:cs="楷体"/>
          <w:sz w:val="32"/>
          <w:szCs w:val="32"/>
        </w:rPr>
        <w:t>（三）选修课程</w:t>
      </w:r>
      <w:bookmarkEnd w:id="10"/>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rPr>
        <w:t xml:space="preserve">   </w:t>
      </w:r>
      <w:r>
        <w:rPr>
          <w:rFonts w:hint="eastAsia" w:ascii="仿宋_GB2312" w:hAnsi="仿宋_GB2312" w:eastAsia="仿宋_GB2312" w:cs="仿宋_GB2312"/>
          <w:sz w:val="32"/>
          <w:szCs w:val="32"/>
        </w:rPr>
        <w:t xml:space="preserve"> 1.AutoCAD </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CAD的特点、功能、使用方法和技巧，通过学习掌握绘图基础知识、常用命令、图层、简单的编辑命令、标注、文本输入、块、机械图纸的绘制、平面装饰图的绘制，了解电子线路图、建筑图及简单三维图形的绘制。</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能进行简单机械设计和计算机绘图。</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2.传感器及其应用</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本课程主要讲授传感器的组成、种类，工作原理及在生产实际中的应用，通过学习，使学生掌握传感器在机电设备控制系统中的使用，学会使用和安排传感器及其测量电路。</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3.极限配合与技术测量</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本课程主要讲授尺寸公差与配合，形状和位置公差，外表粗糙度和技术测量的基本知识，使学生能够熟练地使用标准公差表、基本偏差和极限偏差表，并能形位公差和外表粗糙度的含义。</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4.机电一体化组装与调试技术</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通过国家职业标准解读，对相应职业岗位的国家职业标准的收集、整理，对其职业内涵、职业功能特点、职业技能规范、职业技能考核等内容加以分析，为职业学校人才培养提供方向引领和标准依据。围绕职业学校技能大赛试题以及劳动部门或其他行业部门牵头举办的技能大赛试题内容、命题思路和特点、技能考核的重点、存在的典型问题和误区等方面进行系统、透彻的剖析，尽可能地全面分析试题的内容、特点和趋势，总结技能大赛的规律。</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5.创新教育</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本课程主要介绍职业院校创新文化建设、创新思维类型与开展训练、创新发明经典理论、创新与创造实用技法、专利查新与申请和专利成果转化等相关知识和实用方法。</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6.书法</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通过本课程的学习，使学生了解书法的历史，学会欣赏书法作品，会基本的书法运笔书写等。</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sz w:val="32"/>
          <w:szCs w:val="32"/>
        </w:rPr>
        <w:t>选修课是指开展学生个性特长的课程，包括拓展专业知识的课程，提高专业技能和综合职业能力的课程、拓展人文科学和社会知识以及培养社会能力的课程、艺术欣赏等培养审美能力与情趣的课程等。学校积极创造条件，尽可能提供较多的备选课程，鼓励学生自主选择。任选课程可以在教学计划规定的课时内开设，也可以用课外活动或兴趣小组的形式开设</w:t>
      </w:r>
      <w:r>
        <w:rPr>
          <w:rFonts w:hint="eastAsia" w:ascii="仿宋" w:hAnsi="仿宋" w:eastAsia="仿宋" w:cs="仿宋"/>
          <w:sz w:val="32"/>
          <w:szCs w:val="32"/>
        </w:rPr>
        <w:t>。</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 w:hAnsi="仿宋" w:eastAsia="仿宋" w:cs="仿宋"/>
          <w:sz w:val="32"/>
          <w:szCs w:val="32"/>
        </w:rPr>
      </w:pPr>
    </w:p>
    <w:p>
      <w:pPr>
        <w:pageBreakBefore w:val="0"/>
        <w:widowControl w:val="0"/>
        <w:numPr>
          <w:ilvl w:val="0"/>
          <w:numId w:val="1"/>
        </w:numPr>
        <w:kinsoku/>
        <w:wordWrap/>
        <w:overflowPunct/>
        <w:topLinePunct w:val="0"/>
        <w:autoSpaceDE/>
        <w:autoSpaceDN/>
        <w:bidi w:val="0"/>
        <w:adjustRightInd/>
        <w:snapToGrid/>
        <w:spacing w:beforeAutospacing="0" w:afterAutospacing="0" w:line="560" w:lineRule="exact"/>
        <w:jc w:val="left"/>
        <w:textAlignment w:val="auto"/>
        <w:outlineLvl w:val="0"/>
        <w:rPr>
          <w:rFonts w:hint="eastAsia" w:ascii="黑体" w:hAnsi="黑体" w:eastAsia="黑体" w:cs="黑体"/>
          <w:b w:val="0"/>
          <w:bCs w:val="0"/>
          <w:sz w:val="32"/>
          <w:szCs w:val="32"/>
        </w:rPr>
      </w:pPr>
      <w:bookmarkStart w:id="11" w:name="_Toc30948"/>
      <w:bookmarkStart w:id="25" w:name="_GoBack"/>
      <w:r>
        <w:rPr>
          <w:rFonts w:hint="eastAsia" w:ascii="黑体" w:hAnsi="黑体" w:eastAsia="黑体" w:cs="黑体"/>
          <w:b w:val="0"/>
          <w:bCs w:val="0"/>
          <w:sz w:val="32"/>
          <w:szCs w:val="32"/>
        </w:rPr>
        <w:t>教学进程总体安排</w:t>
      </w:r>
      <w:bookmarkEnd w:id="11"/>
    </w:p>
    <w:bookmarkEnd w:id="25"/>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776"/>
        <w:gridCol w:w="536"/>
        <w:gridCol w:w="1006"/>
        <w:gridCol w:w="856"/>
        <w:gridCol w:w="782"/>
        <w:gridCol w:w="650"/>
        <w:gridCol w:w="686"/>
        <w:gridCol w:w="748"/>
        <w:gridCol w:w="748"/>
        <w:gridCol w:w="747"/>
        <w:gridCol w:w="7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7" w:hRule="atLeast"/>
          <w:tblHeader/>
        </w:trPr>
        <w:tc>
          <w:tcPr>
            <w:tcW w:w="0" w:type="auto"/>
            <w:gridSpan w:val="2"/>
            <w:vMerge w:val="restart"/>
            <w:tcBorders>
              <w:top w:val="single" w:color="auto" w:sz="4" w:space="0"/>
              <w:left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w:t>
            </w:r>
          </w:p>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程</w:t>
            </w:r>
          </w:p>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类</w:t>
            </w:r>
          </w:p>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别</w:t>
            </w:r>
          </w:p>
        </w:tc>
        <w:tc>
          <w:tcPr>
            <w:tcW w:w="0" w:type="auto"/>
            <w:vMerge w:val="restart"/>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号</w:t>
            </w:r>
          </w:p>
        </w:tc>
        <w:tc>
          <w:tcPr>
            <w:tcW w:w="0" w:type="auto"/>
            <w:vMerge w:val="restart"/>
            <w:tcBorders>
              <w:top w:val="single" w:color="auto" w:sz="4" w:space="0"/>
              <w:bottom w:val="single" w:color="auto" w:sz="4" w:space="0"/>
            </w:tcBorders>
            <w:vAlign w:val="center"/>
          </w:tcPr>
          <w:p>
            <w:pPr>
              <w:pStyle w:val="18"/>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w:t>
            </w:r>
          </w:p>
          <w:p>
            <w:pPr>
              <w:pStyle w:val="18"/>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w:t>
            </w:r>
          </w:p>
        </w:tc>
        <w:tc>
          <w:tcPr>
            <w:tcW w:w="0" w:type="auto"/>
            <w:vMerge w:val="restart"/>
            <w:tcBorders>
              <w:top w:val="single" w:color="auto" w:sz="4" w:space="0"/>
              <w:bottom w:val="single" w:color="auto" w:sz="4" w:space="0"/>
            </w:tcBorders>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总 学 时</w:t>
            </w:r>
          </w:p>
        </w:tc>
        <w:tc>
          <w:tcPr>
            <w:tcW w:w="782" w:type="dxa"/>
            <w:vMerge w:val="restart"/>
            <w:tcBorders>
              <w:top w:val="single" w:color="auto" w:sz="4" w:space="0"/>
              <w:bottom w:val="single" w:color="auto" w:sz="4" w:space="0"/>
            </w:tcBorders>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学  分</w:t>
            </w:r>
          </w:p>
        </w:tc>
        <w:tc>
          <w:tcPr>
            <w:tcW w:w="4168" w:type="dxa"/>
            <w:gridSpan w:val="6"/>
            <w:tcBorders>
              <w:top w:val="single" w:color="auto" w:sz="4" w:space="0"/>
              <w:bottom w:val="single" w:color="auto" w:sz="4" w:space="0"/>
            </w:tcBorders>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按学年、学期教学进程安排</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（教学周数/周学时）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2" w:hRule="exact"/>
          <w:tblHeader/>
        </w:trPr>
        <w:tc>
          <w:tcPr>
            <w:tcW w:w="0" w:type="auto"/>
            <w:gridSpan w:val="2"/>
            <w:vMerge w:val="continue"/>
            <w:tcBorders>
              <w:top w:val="single" w:color="auto" w:sz="4" w:space="0"/>
              <w:left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782" w:type="dxa"/>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336" w:type="dxa"/>
            <w:gridSpan w:val="2"/>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第一学年</w:t>
            </w:r>
          </w:p>
        </w:tc>
        <w:tc>
          <w:tcPr>
            <w:tcW w:w="0" w:type="auto"/>
            <w:gridSpan w:val="2"/>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第二学年</w:t>
            </w:r>
          </w:p>
        </w:tc>
        <w:tc>
          <w:tcPr>
            <w:tcW w:w="0" w:type="auto"/>
            <w:gridSpan w:val="2"/>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第三学年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4" w:hRule="exact"/>
          <w:tblHeader/>
        </w:trPr>
        <w:tc>
          <w:tcPr>
            <w:tcW w:w="0" w:type="auto"/>
            <w:gridSpan w:val="2"/>
            <w:vMerge w:val="continue"/>
            <w:tcBorders>
              <w:top w:val="single" w:color="auto" w:sz="4" w:space="0"/>
              <w:left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782" w:type="dxa"/>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50" w:type="dxa"/>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7" w:hRule="atLeast"/>
          <w:tblHeader/>
        </w:trPr>
        <w:tc>
          <w:tcPr>
            <w:tcW w:w="0" w:type="auto"/>
            <w:gridSpan w:val="2"/>
            <w:vMerge w:val="continue"/>
            <w:tcBorders>
              <w:top w:val="single" w:color="auto" w:sz="4" w:space="0"/>
              <w:left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782" w:type="dxa"/>
            <w:vMerge w:val="continue"/>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50" w:type="dxa"/>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15周</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周</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c>
          <w:tcPr>
            <w:tcW w:w="0" w:type="auto"/>
            <w:tcBorders>
              <w:top w:val="single" w:color="auto" w:sz="4" w:space="0"/>
              <w:bottom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restart"/>
            <w:tcBorders>
              <w:top w:val="single" w:color="auto" w:sz="4" w:space="0"/>
            </w:tcBorders>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公共基础课</w:t>
            </w:r>
          </w:p>
        </w:tc>
        <w:tc>
          <w:tcPr>
            <w:tcW w:w="0" w:type="auto"/>
            <w:vMerge w:val="restart"/>
            <w:tcBorders>
              <w:top w:val="single" w:color="auto" w:sz="4" w:space="0"/>
            </w:tcBorders>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公共必修课</w:t>
            </w:r>
          </w:p>
        </w:tc>
        <w:tc>
          <w:tcPr>
            <w:tcW w:w="0" w:type="auto"/>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数学</w:t>
            </w:r>
          </w:p>
        </w:tc>
        <w:tc>
          <w:tcPr>
            <w:tcW w:w="816" w:type="dxa"/>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384</w:t>
            </w:r>
          </w:p>
        </w:tc>
        <w:tc>
          <w:tcPr>
            <w:tcW w:w="782" w:type="dxa"/>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650" w:type="dxa"/>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tcBorders>
              <w:top w:val="single" w:color="auto" w:sz="4" w:space="0"/>
            </w:tcBorders>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英语</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384</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语文</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384</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职业生涯规划</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69</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物理</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69</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劳动</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105</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德育</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108</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心理健康教育</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体育</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174</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计算机基础</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90</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1730" w:type="dxa"/>
            <w:gridSpan w:val="2"/>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小计（占总课时比例…）</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1782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sum(F5:F14)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68</w:t>
            </w:r>
            <w:r>
              <w:rPr>
                <w:rFonts w:hint="eastAsia" w:ascii="仿宋_GB2312" w:hAnsi="仿宋_GB2312" w:eastAsia="仿宋_GB2312" w:cs="仿宋_GB2312"/>
                <w:sz w:val="32"/>
                <w:szCs w:val="32"/>
              </w:rPr>
              <w:fldChar w:fldCharType="end"/>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23</w:t>
            </w:r>
          </w:p>
        </w:tc>
        <w:tc>
          <w:tcPr>
            <w:tcW w:w="68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p>
        </w:tc>
        <w:tc>
          <w:tcPr>
            <w:tcW w:w="708"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sum(I5:I13)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p>
        </w:tc>
        <w:tc>
          <w:tcPr>
            <w:tcW w:w="708"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sum(J5:J13)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p>
        </w:tc>
        <w:tc>
          <w:tcPr>
            <w:tcW w:w="707"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sum(K5:K13)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p>
        </w:tc>
        <w:tc>
          <w:tcPr>
            <w:tcW w:w="709"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sum(L5:L13)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restart"/>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公共选修课</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书法</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9"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演讲与口才</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9"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心理</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gridSpan w:val="2"/>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108</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restart"/>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ind w:firstLine="320" w:firstLineChars="1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专业技能课</w:t>
            </w:r>
          </w:p>
        </w:tc>
        <w:tc>
          <w:tcPr>
            <w:tcW w:w="0" w:type="auto"/>
            <w:vMerge w:val="restart"/>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ind w:firstLine="320" w:firstLineChars="1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专业基础课</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极限配合及技术测量</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金属切削加工与热处理</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108</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68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708"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pacing w:val="-10"/>
                <w:sz w:val="32"/>
                <w:szCs w:val="32"/>
              </w:rPr>
            </w:pPr>
            <w:r>
              <w:rPr>
                <w:rFonts w:hint="eastAsia" w:ascii="仿宋_GB2312" w:hAnsi="仿宋_GB2312" w:eastAsia="仿宋_GB2312" w:cs="仿宋_GB2312"/>
                <w:sz w:val="32"/>
                <w:szCs w:val="32"/>
              </w:rPr>
              <w:t>机械基础</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144</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68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708"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pacing w:val="-10"/>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机械制图</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电子技术基础</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144</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电工技术基础</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144</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电器及 PLC 控制技术</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144</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液压与气压技术</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144</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1730" w:type="dxa"/>
            <w:gridSpan w:val="2"/>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1182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sum(F16:F27)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rPr>
              <w:fldChar w:fldCharType="end"/>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15"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restart"/>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专业（技能）方向课</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钳工实训</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138</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电子实训</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108</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电工及PLC</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108</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CAD</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机电设备的组装与调试技术</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初级工等级证</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中级工等级证</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1730" w:type="dxa"/>
            <w:gridSpan w:val="2"/>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小计（占总课时比例…）</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642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28</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1730" w:type="dxa"/>
            <w:gridSpan w:val="2"/>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教学实习</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720</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40</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1730" w:type="dxa"/>
            <w:gridSpan w:val="2"/>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毕业设计</w:t>
            </w:r>
          </w:p>
        </w:tc>
        <w:tc>
          <w:tcPr>
            <w:tcW w:w="816"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restart"/>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专业选修课</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传感器及其应用</w:t>
            </w:r>
          </w:p>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108</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45"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textDirection w:val="tbRlV"/>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创新教育</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机电一体化组装与调试技术</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Merge w:val="continue"/>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gridSpan w:val="2"/>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252</w:t>
            </w: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0" w:type="auto"/>
            <w:gridSpan w:val="4"/>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周学时及学分合计</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p>
        </w:tc>
        <w:tc>
          <w:tcPr>
            <w:tcW w:w="782"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190</w:t>
            </w:r>
          </w:p>
        </w:tc>
        <w:tc>
          <w:tcPr>
            <w:tcW w:w="650" w:type="dxa"/>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27</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34</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27</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29</w:t>
            </w:r>
          </w:p>
        </w:tc>
        <w:tc>
          <w:tcPr>
            <w:tcW w:w="0" w:type="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0" w:type="auto"/>
            <w:gridSpan w:val="4"/>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总学时</w:t>
            </w:r>
          </w:p>
        </w:tc>
        <w:tc>
          <w:tcPr>
            <w:tcW w:w="0" w:type="auto"/>
            <w:gridSpan w:val="8"/>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4758</w:t>
            </w:r>
          </w:p>
        </w:tc>
      </w:tr>
    </w:tbl>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kern w:val="0"/>
          <w:sz w:val="32"/>
          <w:szCs w:val="32"/>
          <w:shd w:val="clear" w:color="auto" w:fill="FFFFFF"/>
        </w:rPr>
      </w:pP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0"/>
        <w:rPr>
          <w:rFonts w:hint="eastAsia" w:ascii="黑体" w:hAnsi="黑体" w:eastAsia="黑体" w:cs="黑体"/>
          <w:b/>
          <w:bCs/>
          <w:sz w:val="32"/>
          <w:szCs w:val="32"/>
        </w:rPr>
      </w:pPr>
      <w:bookmarkStart w:id="12" w:name="_Toc18937"/>
      <w:r>
        <w:rPr>
          <w:rFonts w:hint="eastAsia" w:ascii="黑体" w:hAnsi="黑体" w:eastAsia="黑体" w:cs="黑体"/>
          <w:b/>
          <w:bCs/>
          <w:sz w:val="32"/>
          <w:szCs w:val="32"/>
        </w:rPr>
        <w:t>八、实施保障</w:t>
      </w:r>
      <w:bookmarkEnd w:id="12"/>
    </w:p>
    <w:p>
      <w:pPr>
        <w:pageBreakBefore w:val="0"/>
        <w:widowControl w:val="0"/>
        <w:kinsoku/>
        <w:wordWrap/>
        <w:overflowPunct/>
        <w:topLinePunct w:val="0"/>
        <w:autoSpaceDE/>
        <w:autoSpaceDN/>
        <w:bidi w:val="0"/>
        <w:adjustRightInd/>
        <w:snapToGrid/>
        <w:spacing w:beforeAutospacing="0" w:afterAutospacing="0" w:line="560" w:lineRule="exact"/>
        <w:ind w:firstLine="320" w:firstLineChars="100"/>
        <w:jc w:val="left"/>
        <w:textAlignment w:val="auto"/>
        <w:outlineLvl w:val="1"/>
        <w:rPr>
          <w:rStyle w:val="17"/>
          <w:rFonts w:hint="eastAsia" w:ascii="楷体" w:hAnsi="楷体" w:eastAsia="楷体" w:cs="楷体"/>
          <w:b w:val="0"/>
          <w:kern w:val="0"/>
          <w:sz w:val="32"/>
          <w:szCs w:val="32"/>
          <w:shd w:val="clear" w:color="auto" w:fill="FFFFFF"/>
        </w:rPr>
      </w:pPr>
      <w:bookmarkStart w:id="13" w:name="_Toc14338"/>
      <w:r>
        <w:rPr>
          <w:rFonts w:hint="eastAsia" w:ascii="楷体" w:hAnsi="楷体" w:eastAsia="楷体" w:cs="楷体"/>
          <w:sz w:val="32"/>
          <w:szCs w:val="32"/>
        </w:rPr>
        <w:t>（</w:t>
      </w:r>
      <w:r>
        <w:rPr>
          <w:rFonts w:hint="eastAsia" w:ascii="楷体" w:hAnsi="楷体" w:eastAsia="楷体" w:cs="楷体"/>
          <w:sz w:val="32"/>
          <w:szCs w:val="32"/>
          <w:lang w:eastAsia="zh-CN"/>
        </w:rPr>
        <w:t>一</w:t>
      </w:r>
      <w:r>
        <w:rPr>
          <w:rFonts w:hint="eastAsia" w:ascii="楷体" w:hAnsi="楷体" w:eastAsia="楷体" w:cs="楷体"/>
          <w:sz w:val="32"/>
          <w:szCs w:val="32"/>
        </w:rPr>
        <w:t>）</w:t>
      </w:r>
      <w:r>
        <w:rPr>
          <w:rStyle w:val="17"/>
          <w:rFonts w:hint="eastAsia" w:ascii="楷体" w:hAnsi="楷体" w:eastAsia="楷体" w:cs="楷体"/>
          <w:b w:val="0"/>
          <w:kern w:val="0"/>
          <w:sz w:val="32"/>
          <w:szCs w:val="32"/>
          <w:shd w:val="clear" w:color="auto" w:fill="FFFFFF"/>
        </w:rPr>
        <w:t>师资队伍</w:t>
      </w:r>
      <w:bookmarkEnd w:id="13"/>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具有本专业或相关专业中级工及以上职业资格证书或相应技术职称：兼职教师应具有本科以上文化程度和中级以上职称并从事与本专业相关的实践工作5年以上。</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具有电气设备的安装、调试的能力；具有熟悉各种机械设备的操作的能力。</w:t>
      </w:r>
    </w:p>
    <w:p>
      <w:pPr>
        <w:pageBreakBefore w:val="0"/>
        <w:widowControl w:val="0"/>
        <w:kinsoku/>
        <w:wordWrap/>
        <w:overflowPunct/>
        <w:topLinePunct w:val="0"/>
        <w:autoSpaceDE/>
        <w:autoSpaceDN/>
        <w:bidi w:val="0"/>
        <w:adjustRightInd/>
        <w:snapToGrid/>
        <w:spacing w:beforeAutospacing="0" w:afterAutospacing="0" w:line="560" w:lineRule="exact"/>
        <w:ind w:firstLine="320" w:firstLineChars="100"/>
        <w:jc w:val="left"/>
        <w:textAlignment w:val="auto"/>
        <w:outlineLvl w:val="1"/>
        <w:rPr>
          <w:rFonts w:hint="eastAsia" w:ascii="楷体" w:hAnsi="楷体" w:eastAsia="楷体" w:cs="楷体"/>
          <w:sz w:val="32"/>
          <w:szCs w:val="32"/>
        </w:rPr>
      </w:pPr>
      <w:bookmarkStart w:id="14" w:name="_Toc8444"/>
      <w:r>
        <w:rPr>
          <w:rFonts w:hint="eastAsia" w:ascii="楷体" w:hAnsi="楷体" w:eastAsia="楷体" w:cs="楷体"/>
          <w:sz w:val="32"/>
          <w:szCs w:val="32"/>
        </w:rPr>
        <w:t>（二）教学设施</w:t>
      </w:r>
      <w:bookmarkEnd w:id="14"/>
    </w:p>
    <w:p>
      <w:pPr>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电工实训室</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3677"/>
        <w:gridCol w:w="2450"/>
        <w:gridCol w:w="919"/>
        <w:gridCol w:w="1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型号</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日光灯架</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20W(含电感镇流器、灯管)</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套</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家用漏电保护器</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DZ47SLE 1P+N 6A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单联单控墙壁开关</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118型   220V10A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接线端子</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TB1512</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单相电度表</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DDS606</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漏电断路器</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DZ47SLE-32/2P</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单联双控墙壁开关</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118型   220V10A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声光控延时开关</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螺旋式座灯口</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86型</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灯泡</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25W</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明装盒</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118型</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明装盒</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86型</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插座</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118型  六孔220V10A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空调插座</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86型   三孔220V16A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单联单控墙壁开关</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86型   220V10A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闸刀开关</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220V 15A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调光开关</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86型</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电线</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BVR0.75红</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米</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电线</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BVR0.75 蓝</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米</w:t>
            </w:r>
          </w:p>
        </w:tc>
        <w:tc>
          <w:tcPr>
            <w:tcW w:w="57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行线槽</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30*30   2米</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w:t>
            </w:r>
          </w:p>
        </w:tc>
        <w:tc>
          <w:tcPr>
            <w:tcW w:w="572"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冷压端头</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UT1.25-4带护套</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72"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初级维修电工及技能考核实训装置</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HLT-WXGA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572"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24</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中级维修电工及技能培训考核实训装置</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HLT-WXGB</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572"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w:t>
            </w:r>
          </w:p>
        </w:tc>
        <w:tc>
          <w:tcPr>
            <w:tcW w:w="2029"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可编程实训考核装置</w:t>
            </w:r>
          </w:p>
        </w:tc>
        <w:tc>
          <w:tcPr>
            <w:tcW w:w="1352"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HL-PLX17A</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572"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bl>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PLC实训室</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3581"/>
        <w:gridCol w:w="2121"/>
        <w:gridCol w:w="323"/>
        <w:gridCol w:w="1028"/>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型号</w:t>
            </w:r>
          </w:p>
        </w:tc>
        <w:tc>
          <w:tcPr>
            <w:tcW w:w="567"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接线端子</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bookmarkStart w:id="15" w:name="OLE_LINK1"/>
            <w:bookmarkStart w:id="16" w:name="OLE_LINK2"/>
            <w:r>
              <w:rPr>
                <w:rFonts w:hint="eastAsia" w:ascii="仿宋_GB2312" w:hAnsi="仿宋_GB2312" w:eastAsia="仿宋_GB2312" w:cs="仿宋_GB2312"/>
                <w:sz w:val="32"/>
                <w:szCs w:val="32"/>
              </w:rPr>
              <w:t>TB-25/12</w:t>
            </w:r>
            <w:bookmarkEnd w:id="15"/>
            <w:bookmarkEnd w:id="16"/>
          </w:p>
        </w:tc>
        <w:tc>
          <w:tcPr>
            <w:tcW w:w="567"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熔断隔离器</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RT18—32X</w:t>
            </w:r>
          </w:p>
        </w:tc>
        <w:tc>
          <w:tcPr>
            <w:tcW w:w="567"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熔断隔离器体</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5A</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熔断隔离器体</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3A</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总控开关</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DZ47SLE-63 3P 16A</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交流接触器</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CJX2-0910  380V</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热继电器</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JR36-20  0.45-0.72A</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按钮开关</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LA18-11BN 绿色自复位</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按钮开关</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LA18-11BN 红色自复位</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按钮盒</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4孔</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电子式时间继电器</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JSZ3-A/380V 1—10S</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时间继电器座</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JSZ3</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导轨</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BH-35</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米</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中间继电器</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JZC1-44  380V</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行程开关（直动）</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LX19-001</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行程开关（双轮）</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LX19-212</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辅助触点</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F4-11</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辅助触点</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F4-22</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bookmarkStart w:id="17" w:name="_Hlk410129336"/>
            <w:r>
              <w:rPr>
                <w:rFonts w:hint="eastAsia" w:ascii="仿宋_GB2312" w:hAnsi="仿宋_GB2312" w:eastAsia="仿宋_GB2312" w:cs="仿宋_GB2312"/>
                <w:sz w:val="32"/>
                <w:szCs w:val="32"/>
              </w:rPr>
              <w:t>19</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行线槽</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30*30   2米</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电线</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BVR0.75 黄</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米</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电线</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BVR0.75 绿</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米</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电线</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BVR0.75 红</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米</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bookmarkStart w:id="18" w:name="_Hlk410129345"/>
            <w:r>
              <w:rPr>
                <w:rFonts w:hint="eastAsia" w:ascii="仿宋_GB2312" w:hAnsi="仿宋_GB2312" w:eastAsia="仿宋_GB2312" w:cs="仿宋_GB2312"/>
                <w:sz w:val="32"/>
                <w:szCs w:val="32"/>
              </w:rPr>
              <w:t>23</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冷压端头</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UT1.25-4 带护套</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88"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24</w:t>
            </w:r>
          </w:p>
        </w:tc>
        <w:tc>
          <w:tcPr>
            <w:tcW w:w="1975"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三相异步电动机</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6314  180W</w:t>
            </w:r>
          </w:p>
        </w:tc>
        <w:tc>
          <w:tcPr>
            <w:tcW w:w="7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bl>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电子实训室</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bl>
      <w:tblPr>
        <w:tblStyle w:val="14"/>
        <w:tblpPr w:leftFromText="180" w:rightFromText="180" w:vertAnchor="text" w:horzAnchor="page" w:tblpX="1840" w:tblpY="354"/>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6070"/>
        <w:gridCol w:w="997"/>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349"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物品名称</w:t>
            </w:r>
          </w:p>
        </w:tc>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tc>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349"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HL-205B型</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"http://www.wzhlhl.com"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电子产品焊接与工艺实训台</w:t>
            </w:r>
            <w:r>
              <w:rPr>
                <w:rFonts w:hint="eastAsia" w:ascii="仿宋_GB2312" w:hAnsi="仿宋_GB2312" w:eastAsia="仿宋_GB2312" w:cs="仿宋_GB2312"/>
                <w:sz w:val="32"/>
                <w:szCs w:val="32"/>
              </w:rPr>
              <w:fldChar w:fldCharType="end"/>
            </w:r>
          </w:p>
        </w:tc>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3349"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HL-SMD型</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"http://www.wzhlhl.com/pro_51826236.html"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电子学综合实验装置</w:t>
            </w:r>
            <w:r>
              <w:rPr>
                <w:rFonts w:hint="eastAsia" w:ascii="仿宋_GB2312" w:hAnsi="仿宋_GB2312" w:eastAsia="仿宋_GB2312" w:cs="仿宋_GB2312"/>
                <w:sz w:val="32"/>
                <w:szCs w:val="32"/>
              </w:rPr>
              <w:fldChar w:fldCharType="end"/>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55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r>
    </w:tbl>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物联网实训室</w:t>
      </w:r>
    </w:p>
    <w:tbl>
      <w:tblPr>
        <w:tblStyle w:val="14"/>
        <w:tblpPr w:leftFromText="180" w:rightFromText="180" w:vertAnchor="text" w:horzAnchor="page" w:tblpX="1915" w:tblpY="4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5697"/>
        <w:gridCol w:w="1109"/>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2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144"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物品名称</w:t>
            </w:r>
          </w:p>
        </w:tc>
        <w:tc>
          <w:tcPr>
            <w:tcW w:w="61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tc>
        <w:tc>
          <w:tcPr>
            <w:tcW w:w="62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2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144"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HL-Z2型智能家居系统应用实训装置</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1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62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2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3144"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HL-WLW04无线传感网全功能实验箱</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1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w:t>
            </w:r>
          </w:p>
        </w:tc>
        <w:tc>
          <w:tcPr>
            <w:tcW w:w="62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bl>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钳工实训室</w:t>
      </w:r>
    </w:p>
    <w:tbl>
      <w:tblPr>
        <w:tblStyle w:val="14"/>
        <w:tblpPr w:leftFromText="180" w:rightFromText="180" w:vertAnchor="text" w:horzAnchor="page" w:tblpX="1815" w:tblpY="38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5634"/>
        <w:gridCol w:w="1091"/>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78"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108"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物品名称</w:t>
            </w:r>
          </w:p>
        </w:tc>
        <w:tc>
          <w:tcPr>
            <w:tcW w:w="60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tc>
        <w:tc>
          <w:tcPr>
            <w:tcW w:w="61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78"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108"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HL-QGZ重型钳工实验室成套设备</w:t>
            </w:r>
          </w:p>
        </w:tc>
        <w:tc>
          <w:tcPr>
            <w:tcW w:w="602"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套</w:t>
            </w:r>
          </w:p>
        </w:tc>
        <w:tc>
          <w:tcPr>
            <w:tcW w:w="61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r>
    </w:tbl>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机房</w:t>
      </w:r>
    </w:p>
    <w:tbl>
      <w:tblPr>
        <w:tblStyle w:val="14"/>
        <w:tblpPr w:leftFromText="180" w:rightFromText="180" w:vertAnchor="text" w:horzAnchor="margin" w:tblpX="250" w:tblpY="113"/>
        <w:tblOverlap w:val="never"/>
        <w:tblW w:w="48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5920"/>
        <w:gridCol w:w="100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56"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37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物品名称</w:t>
            </w:r>
          </w:p>
        </w:tc>
        <w:tc>
          <w:tcPr>
            <w:tcW w:w="578"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tc>
        <w:tc>
          <w:tcPr>
            <w:tcW w:w="596"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56"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370"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联想扬天M4000q</w:t>
            </w:r>
          </w:p>
        </w:tc>
        <w:tc>
          <w:tcPr>
            <w:tcW w:w="578"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套</w:t>
            </w:r>
          </w:p>
        </w:tc>
        <w:tc>
          <w:tcPr>
            <w:tcW w:w="596" w:type="pct"/>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40</w:t>
            </w:r>
          </w:p>
        </w:tc>
      </w:tr>
    </w:tbl>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Fonts w:hint="eastAsia" w:ascii="楷体" w:hAnsi="楷体" w:eastAsia="楷体" w:cs="楷体"/>
          <w:sz w:val="32"/>
          <w:szCs w:val="32"/>
        </w:rPr>
      </w:pPr>
      <w:bookmarkStart w:id="19" w:name="_Toc2045"/>
      <w:r>
        <w:rPr>
          <w:rFonts w:hint="eastAsia" w:ascii="楷体" w:hAnsi="楷体" w:eastAsia="楷体" w:cs="楷体"/>
          <w:sz w:val="32"/>
          <w:szCs w:val="32"/>
        </w:rPr>
        <w:t>（</w:t>
      </w:r>
      <w:r>
        <w:rPr>
          <w:rFonts w:hint="eastAsia" w:ascii="楷体" w:hAnsi="楷体" w:eastAsia="楷体" w:cs="楷体"/>
          <w:sz w:val="32"/>
          <w:szCs w:val="32"/>
          <w:lang w:eastAsia="zh-CN"/>
        </w:rPr>
        <w:t>三</w:t>
      </w:r>
      <w:r>
        <w:rPr>
          <w:rFonts w:hint="eastAsia" w:ascii="楷体" w:hAnsi="楷体" w:eastAsia="楷体" w:cs="楷体"/>
          <w:sz w:val="32"/>
          <w:szCs w:val="32"/>
        </w:rPr>
        <w:t>）教学资源</w:t>
      </w:r>
      <w:bookmarkEnd w:id="19"/>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主要包括能满足学生专业学习、教师专业教学研究和教学实施需要的教材、图书和数字资源等。</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1.教材选用要求</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建立由专业教师、行业企业专家和教研人员等参与的教材选用机制，完善教材选用、公示和备案制度。按照规范程序选用教材，公共基础课程统一使用国家规划，专业（技能）课程教材按要求选用国家规划教材和省（市）推荐教材。</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2.图书资料配备要求</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相关图书文献配备应能满足人才培养、专业建设、教科研等工作需要，根据行业产业发展以及专业特点，以职业能力需求为出发点，联合行业企业及时更新、补充教学内容，积极开发实训手册、校本教材、精品课程、微课、教学平台等教学资源。主要包含：《机械制图》《机械基础》《电工基础》《电子技术基础》《PLC》等书籍，以及《机械设计基础》</w:t>
      </w:r>
      <w:r>
        <w:rPr>
          <w:rFonts w:hint="eastAsia" w:ascii="仿宋_GB2312" w:hAnsi="仿宋_GB2312" w:eastAsia="仿宋_GB2312" w:cs="仿宋_GB2312"/>
          <w:sz w:val="32"/>
          <w:szCs w:val="32"/>
          <w:lang w:eastAsia="zh-CN"/>
        </w:rPr>
        <w:t>《机械制造及其自动化》</w:t>
      </w:r>
      <w:r>
        <w:rPr>
          <w:rFonts w:hint="eastAsia" w:ascii="仿宋_GB2312" w:hAnsi="仿宋_GB2312" w:eastAsia="仿宋_GB2312" w:cs="仿宋_GB2312"/>
          <w:sz w:val="32"/>
          <w:szCs w:val="32"/>
        </w:rPr>
        <w:t>《电力拖动》等专业学术期刊，同时使用现代化图书软件，实现高效管理，方便师生查询、借阅，做到及时更新，科学剔除。</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3.数字资源配置要求</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视优质教学资源建设和网络信息资源的开发与利用，利用学校教育资源平台和智慧树等网络教学平台，开发和配备一批教学课件、数字化教学案例库、在线精品课程等，使学生能够尽快适应、了解和掌握将来所从事的工作。教师通过教学软件、电子课堂以及多媒体设备等，充分利用模拟实训室的设施进行教学，并配以直观形象的幻灯片、动画、视频等教学资源，以调动学生学习积极性、主动性，促进学生理解、接受课程知识。实训室根据承担的实训项目、配备设施和教学指导性文件，对接“1+x”职业技能等级证书标准，明确考核内容和形式，优化课程设置和教学内容，开发相应的校本培训教材，形成种类丰富、形成多样、使用便捷、动态更新、满足教学得的数字化资源库。开发并利用现有的电子书籍、国家精品课资源共享资源库、各大网站等网络资源组织教学，使教学内容从单一走向多元，使学生的知识和能力的拓展成为可能。</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Fonts w:hint="eastAsia" w:ascii="楷体" w:hAnsi="楷体" w:eastAsia="楷体" w:cs="楷体"/>
          <w:sz w:val="32"/>
          <w:szCs w:val="32"/>
        </w:rPr>
      </w:pPr>
      <w:bookmarkStart w:id="20" w:name="_Toc31640"/>
      <w:r>
        <w:rPr>
          <w:rFonts w:hint="eastAsia" w:ascii="楷体" w:hAnsi="楷体" w:eastAsia="楷体" w:cs="楷体"/>
          <w:sz w:val="32"/>
          <w:szCs w:val="32"/>
        </w:rPr>
        <w:t>（四）教学方法</w:t>
      </w:r>
      <w:bookmarkEnd w:id="20"/>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使用多种教学方法。整体教学采用任务驱动法，其中理论学习部分主要采用小组形式的三步法，实操部分主要采用四步教学法，具体有引导文法、案例分析法、画廊展示法、桌布游戏法等。课后引导学生进行拓展学习，进一步提高其综合职业素养。</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2.各教学项目成立不同的学习小组，成员不超过4人，不同项目小组必须至少有2名新成员，提交作业时要说明小组成员具体分工。</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通过建立课程QQ群或微信群及时发布、沟通信息，拓展学习内容。</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Fonts w:hint="eastAsia" w:ascii="楷体" w:hAnsi="楷体" w:eastAsia="楷体" w:cs="楷体"/>
          <w:sz w:val="32"/>
          <w:szCs w:val="32"/>
        </w:rPr>
      </w:pPr>
      <w:bookmarkStart w:id="21" w:name="_Toc15263"/>
      <w:r>
        <w:rPr>
          <w:rFonts w:hint="eastAsia" w:ascii="楷体" w:hAnsi="楷体" w:eastAsia="楷体" w:cs="楷体"/>
          <w:sz w:val="32"/>
          <w:szCs w:val="32"/>
        </w:rPr>
        <w:t>（五）学习评价</w:t>
      </w:r>
      <w:bookmarkEnd w:id="21"/>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教学质量评估分市、县（市、区）、校三级进行。全市教学质量检测与毕业证书验发需提供计算机考核合格证书、普通话考核合格证书、相应行政部门四级及以上职业资格证书（或中级工技能等级证书）、顶岗实习成绩。语文、数学、英语学业水平测试安排在第四学期末，计算机等级考试安排在第三学期初，专业大类通用初级技能考证安排在第四学期末，专业中级技能考证安排在第五学期末。</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评价应与课程目标相一致，既要关注学生知识与技能的理解、掌握和能力的提高，又要关注学生情感、态度与价值观的形成和开展既要关注学生学习的结果，又要关注学生在学习过程中所作的努力；既要关注教师对学生的评价，又要关注学生的自评、互评。将评价贯穿于学习的全过程，发挥学习评价的诊断功能，表达其激励与教育功能，有利于营造良好的学习环境，有利于师生的共同成长。</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在评价过程中实施多元评价，即实施主体多元、形式多元、内容多元和目标多元等评价，实施时应根据评价的目的和内容进行选择。采用教师评价、自我评价、学生互评、相关机构评价相结合，通过定性与定量、书面与口头、课内与课外、结果与过程等形式，从知识与技能、过程与方法、情感态度与价值观等方面进行评价。对不同层次、不同开展要求的学生可采用不同的评价标准。</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文化课程考试成绩的构成：平时表现、作业成绩、考核成绩、学科活动中的成绩（如一些竞赛等）。</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专业课程考试成绩构成：平时表现、作业成绩、考核成绩、实验成绩、实习成绩、综合训练成绩、学科相关活动中的成绩（学科竞赛、技能评定、创新能力等）</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1"/>
        <w:rPr>
          <w:rFonts w:hint="eastAsia" w:ascii="楷体" w:hAnsi="楷体" w:eastAsia="楷体" w:cs="楷体"/>
          <w:sz w:val="32"/>
          <w:szCs w:val="32"/>
        </w:rPr>
      </w:pPr>
      <w:bookmarkStart w:id="22" w:name="_Toc11507"/>
      <w:r>
        <w:rPr>
          <w:rFonts w:hint="eastAsia" w:ascii="楷体" w:hAnsi="楷体" w:eastAsia="楷体" w:cs="楷体"/>
          <w:sz w:val="32"/>
          <w:szCs w:val="32"/>
        </w:rPr>
        <w:t>（六）质量管理</w:t>
      </w:r>
      <w:bookmarkEnd w:id="22"/>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完善教学质量管理及评价机制。建立教学质量“学校—教学部”两级内部监控和评价机制，完善教学管理规章制度体系，通过推门听课、教学巡查、教考分离、教学文件抽检、开展集体备课和教研活动等方式对日常教学过程进行监控和管理，保证毕业生培养质量达到国家规定的标准。建立与行业企业联动的实践教学环节督导制度，健全专业教学质量监控和评价机制，加强课堂教学、实习实训等方面质量标准建设。按照学校教育教学督导要求，落实《威海市职业中等专业学校教师教学工作规范》《关于建立教学常规巡查工作制度的通知》等文件要求，对教师教学质量进行综合评价。</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建立和完善人才培养质量社会评价及反馈机制。落实学校《学生学业质量评价方案》，完善学业水平测试、综合素质评价和毕业生质量跟踪反馈机制及社会评价机制，对生源情况、在校生学业水平、毕业生就业情况等进行分析，定期评价人才培养质量和培养目标达成情况。专业教研组织应充分利用评价分析结果有效改进专业教学，持续提高人才培养质量。</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建立专业建设诊断与改进机制。定期组织专业建设委员会开展专业建设研讨，及时开展专业调研、人才培养方案更新和教学资源建设研究工作。专业教研组建立集中备课制度，每周召开一次研讨会议，对专业教学、实训室建设、社会服务、课程建设等进行研判，持续提高专业建设水平和人才培养质量。</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0"/>
        <w:rPr>
          <w:rFonts w:hint="eastAsia" w:ascii="黑体" w:hAnsi="黑体" w:eastAsia="黑体" w:cs="黑体"/>
          <w:b/>
          <w:bCs/>
          <w:sz w:val="32"/>
          <w:szCs w:val="32"/>
        </w:rPr>
      </w:pPr>
      <w:bookmarkStart w:id="23" w:name="_Toc32492"/>
      <w:r>
        <w:rPr>
          <w:rFonts w:hint="eastAsia" w:ascii="黑体" w:hAnsi="黑体" w:eastAsia="黑体" w:cs="黑体"/>
          <w:b/>
          <w:bCs/>
          <w:sz w:val="32"/>
          <w:szCs w:val="32"/>
        </w:rPr>
        <w:t>九、毕业要求</w:t>
      </w:r>
      <w:bookmarkEnd w:id="23"/>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shd w:val="clear" w:color="auto" w:fill="FFFFFF"/>
        </w:rPr>
      </w:pPr>
      <w:r>
        <w:rPr>
          <w:rFonts w:hint="eastAsia" w:ascii="仿宋" w:hAnsi="仿宋" w:eastAsia="仿宋" w:cs="仿宋"/>
          <w:kern w:val="0"/>
          <w:sz w:val="32"/>
          <w:szCs w:val="32"/>
          <w:shd w:val="clear" w:color="auto" w:fill="FFFFFF"/>
        </w:rPr>
        <w:t xml:space="preserve">   </w:t>
      </w:r>
      <w:r>
        <w:rPr>
          <w:rFonts w:hint="eastAsia" w:ascii="仿宋_GB2312" w:hAnsi="仿宋_GB2312" w:eastAsia="仿宋_GB2312" w:cs="仿宋_GB2312"/>
          <w:kern w:val="0"/>
          <w:sz w:val="32"/>
          <w:szCs w:val="32"/>
          <w:shd w:val="clear" w:color="auto" w:fill="FFFFFF"/>
        </w:rPr>
        <w:t xml:space="preserve"> 1</w:t>
      </w:r>
      <w:r>
        <w:rPr>
          <w:rFonts w:hint="eastAsia" w:ascii="仿宋_GB2312" w:hAnsi="仿宋_GB2312" w:eastAsia="仿宋_GB2312" w:cs="仿宋_GB2312"/>
          <w:kern w:val="0"/>
          <w:sz w:val="32"/>
          <w:szCs w:val="32"/>
          <w:shd w:val="clear" w:color="auto" w:fill="FFFFFF"/>
          <w:lang w:val="en-US" w:eastAsia="zh-CN"/>
        </w:rPr>
        <w:t>.</w:t>
      </w:r>
      <w:r>
        <w:rPr>
          <w:rFonts w:hint="eastAsia" w:ascii="仿宋_GB2312" w:hAnsi="仿宋_GB2312" w:eastAsia="仿宋_GB2312" w:cs="仿宋_GB2312"/>
          <w:kern w:val="0"/>
          <w:sz w:val="32"/>
          <w:szCs w:val="32"/>
          <w:shd w:val="clear" w:color="auto" w:fill="FFFFFF"/>
        </w:rPr>
        <w:t>本教学计划按中职教育"2.5+0.5"模式（即学生在校学习二年半，在企业顶岗实习半年）制定。</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企业生产实习是学生在校学习的重要组成局部，是培养学生综合职业能力的主要教学环节。实习教学计划由企业和学校共同根据岗位对从业人员素养的要求制订，教学活动主要由企业组织实施，学校参与管理与评价。根据工作需要，安排一定时间集中回校。</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本专业学生毕业需获得190学分，根据实际情况制订学分奖励方法，对学有余力的学生经培训和社会化考核取得其他技能等级证书或参加各级各类技能竞赛获奖的学生实行学分奖励。</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推行双（多）证书管理制度，学生在取得中职毕业证书的同时，必须取得与专业相关的职业资格证书。鼓励学生经培训并通过社会化考核取得与职业能力相关的其他技术等级证书。</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选修课是职业教学的重要组成局部，可根据学生兴趣、特长和用人单位的特殊需求自主选择，选修课的成绩评定以过程评价为主</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outlineLvl w:val="0"/>
        <w:rPr>
          <w:rFonts w:hint="eastAsia" w:ascii="黑体" w:hAnsi="黑体" w:eastAsia="黑体" w:cs="黑体"/>
          <w:b/>
          <w:bCs/>
          <w:sz w:val="32"/>
          <w:szCs w:val="32"/>
        </w:rPr>
      </w:pPr>
      <w:bookmarkStart w:id="24" w:name="_Toc10386"/>
      <w:r>
        <w:rPr>
          <w:rFonts w:hint="eastAsia" w:ascii="黑体" w:hAnsi="黑体" w:eastAsia="黑体" w:cs="黑体"/>
          <w:b/>
          <w:bCs/>
          <w:sz w:val="32"/>
          <w:szCs w:val="32"/>
        </w:rPr>
        <w:t>十、技能训练与考证建议</w:t>
      </w:r>
      <w:bookmarkEnd w:id="24"/>
    </w:p>
    <w:tbl>
      <w:tblPr>
        <w:tblStyle w:val="14"/>
        <w:tblpPr w:leftFromText="180" w:rightFromText="180" w:vertAnchor="text" w:horzAnchor="page" w:tblpX="1455" w:tblpY="580"/>
        <w:tblOverlap w:val="never"/>
        <w:tblW w:w="9945" w:type="dxa"/>
        <w:tblInd w:w="0" w:type="dxa"/>
        <w:tblLayout w:type="fixed"/>
        <w:tblCellMar>
          <w:top w:w="0" w:type="dxa"/>
          <w:left w:w="108" w:type="dxa"/>
          <w:bottom w:w="0" w:type="dxa"/>
          <w:right w:w="108" w:type="dxa"/>
        </w:tblCellMar>
      </w:tblPr>
      <w:tblGrid>
        <w:gridCol w:w="1050"/>
        <w:gridCol w:w="820"/>
        <w:gridCol w:w="1261"/>
        <w:gridCol w:w="1534"/>
        <w:gridCol w:w="2895"/>
        <w:gridCol w:w="1710"/>
        <w:gridCol w:w="675"/>
      </w:tblGrid>
      <w:tr>
        <w:tblPrEx>
          <w:tblCellMar>
            <w:top w:w="0" w:type="dxa"/>
            <w:left w:w="108" w:type="dxa"/>
            <w:bottom w:w="0" w:type="dxa"/>
            <w:right w:w="108" w:type="dxa"/>
          </w:tblCellMar>
        </w:tblPrEx>
        <w:trPr>
          <w:trHeight w:val="42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学期</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技能类型</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工程</w:t>
            </w: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技能要求</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参考题型</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相关知识</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建议课时</w:t>
            </w:r>
          </w:p>
        </w:tc>
      </w:tr>
      <w:tr>
        <w:tblPrEx>
          <w:tblCellMar>
            <w:top w:w="0" w:type="dxa"/>
            <w:left w:w="108" w:type="dxa"/>
            <w:bottom w:w="0" w:type="dxa"/>
            <w:right w:w="108" w:type="dxa"/>
          </w:tblCellMar>
        </w:tblPrEx>
        <w:trPr>
          <w:trHeight w:val="285" w:hRule="atLeast"/>
        </w:trPr>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第一学期</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专业通用</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初级技能</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钳工</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技能</w:t>
            </w: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锯削、饕削</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锯板材、管材、塞平面、槽</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机械制图知识</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钳工工艺与技能</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2周</w:t>
            </w: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铿削</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铿平面、铿曲面</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钻孔</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钻孔、刃磨钻头</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塞、锯、锂、钻孔</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综合训练题（阶梯模块）</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电工</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技能</w:t>
            </w: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电工基本操作</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导线连接、常用工具使用</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电工识图</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电工仪表使用</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1周</w:t>
            </w: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电工仪表使用</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万用表、电度表、兆欧表使用</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照明电路安装</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日光灯、白炽灯、电度表的安装</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电子</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技能</w:t>
            </w: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万用表使用</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万用表使用</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 xml:space="preserve">电子元器件知识 </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2、电路装配工艺</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1周</w:t>
            </w: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元件识别与检测</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电阻、电容、二极管等识别、检测</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焊接训练</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焊接</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简单电路制作</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单管放大电路制作</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nil"/>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restart"/>
            <w:tcBorders>
              <w:top w:val="single" w:color="000000" w:sz="4" w:space="0"/>
              <w:left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钳工</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初级</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技能</w:t>
            </w: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长方体及孔加工</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方体加工</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识图</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钳工工艺与技能训练</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公差配合与技术测量</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nil"/>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left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钱孔、攻丝、套丝</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螺纹加工、钱孔</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nil"/>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left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内外外表加工</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凹形件制作</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nil"/>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left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角度加工</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角疫样板制作</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1645" w:hRule="atLeast"/>
        </w:trPr>
        <w:tc>
          <w:tcPr>
            <w:tcW w:w="1050" w:type="dxa"/>
            <w:vMerge w:val="continue"/>
            <w:tcBorders>
              <w:top w:val="single" w:color="000000" w:sz="4" w:space="0"/>
              <w:left w:val="single" w:color="000000" w:sz="4" w:space="0"/>
              <w:bottom w:val="nil"/>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开式镶配件</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凹凸相配</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第四学期</w:t>
            </w: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电工</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初级</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技能</w:t>
            </w:r>
          </w:p>
        </w:tc>
        <w:tc>
          <w:tcPr>
            <w:tcW w:w="15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电力拖动电路的安装维修</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点动、自锁控制线路安装</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电机与拖动知识</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低压电气运行与维修知识</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电工应用识图</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2周</w:t>
            </w: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正反转控制线路的安装</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顺序控制线路</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Y 一△降压启动控制线路</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安装工艺与故障检查、排除</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第五学期</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专项中级技能</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PLC</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编程</w:t>
            </w: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编程器操作</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程序输入与动作测试</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电器与 PLC 控制技术</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低压电器知识</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1周</w:t>
            </w: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指令系统训练</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基本指令及其他功能指令应用</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程序设计训练</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基本指令及步进指令编程</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电工</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中级</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技能</w:t>
            </w: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电气</w:t>
            </w:r>
          </w:p>
          <w:p>
            <w:pPr>
              <w:pageBreakBefore w:val="0"/>
              <w:widowControl w:val="0"/>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控制</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直流、同步电动机的控制线路安装</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电力拖动知识</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PLC 编程知识</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电子技术知识</w:t>
            </w: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变频调速知识</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2周</w:t>
            </w: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PLC 编程</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PLC 技术在组合机床、电梯控制中的应用设计</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0" w:firstLineChars="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电子</w:t>
            </w:r>
          </w:p>
          <w:p>
            <w:pPr>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技术</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较复杂电路的装配、调试</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r>
        <w:tblPrEx>
          <w:tblCellMar>
            <w:top w:w="0" w:type="dxa"/>
            <w:left w:w="108" w:type="dxa"/>
            <w:bottom w:w="0" w:type="dxa"/>
            <w:right w:w="108" w:type="dxa"/>
          </w:tblCellMar>
        </w:tblPrEx>
        <w:trPr>
          <w:trHeight w:val="285"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0" w:firstLineChars="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变频</w:t>
            </w:r>
          </w:p>
          <w:p>
            <w:pPr>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调速</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蜘器的原理与调速方法</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rPr>
            </w:pPr>
          </w:p>
        </w:tc>
      </w:tr>
    </w:tbl>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 w:hAnsi="仿宋" w:eastAsia="仿宋" w:cs="仿宋"/>
          <w:sz w:val="32"/>
          <w:szCs w:val="32"/>
        </w:rPr>
      </w:pPr>
    </w:p>
    <w:p>
      <w:pPr>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 w:hAnsi="仿宋" w:eastAsia="仿宋" w:cs="仿宋"/>
          <w:sz w:val="32"/>
          <w:szCs w:val="32"/>
        </w:rPr>
      </w:pPr>
    </w:p>
    <w:p>
      <w:pPr>
        <w:pageBreakBefore w:val="0"/>
        <w:widowControl w:val="0"/>
        <w:kinsoku/>
        <w:wordWrap/>
        <w:overflowPunct/>
        <w:topLinePunct w:val="0"/>
        <w:autoSpaceDE/>
        <w:autoSpaceDN/>
        <w:bidi w:val="0"/>
        <w:adjustRightInd/>
        <w:snapToGrid/>
        <w:spacing w:beforeAutospacing="0" w:afterAutospacing="0" w:line="560" w:lineRule="exact"/>
        <w:jc w:val="right"/>
        <w:textAlignment w:val="auto"/>
        <w:rPr>
          <w:rFonts w:hint="default" w:ascii="仿宋" w:hAnsi="仿宋" w:eastAsia="仿宋" w:cs="仿宋"/>
          <w:sz w:val="32"/>
          <w:szCs w:val="32"/>
          <w:lang w:val="en-US" w:eastAsia="zh-CN"/>
        </w:rPr>
      </w:pPr>
      <w:r>
        <w:rPr>
          <w:rFonts w:hint="eastAsia" w:ascii="仿宋" w:eastAsia="仿宋" w:cs="仿宋"/>
          <w:sz w:val="32"/>
          <w:szCs w:val="32"/>
          <w:lang w:val="en-US" w:eastAsia="zh-CN"/>
        </w:rPr>
        <w:t xml:space="preserve">                            威海智慧谷职业中等专业学校</w:t>
      </w:r>
    </w:p>
    <w:p>
      <w:pPr>
        <w:pageBreakBefore w:val="0"/>
        <w:widowControl w:val="0"/>
        <w:kinsoku/>
        <w:wordWrap/>
        <w:overflowPunct/>
        <w:topLinePunct w:val="0"/>
        <w:autoSpaceDE/>
        <w:autoSpaceDN/>
        <w:bidi w:val="0"/>
        <w:adjustRightInd/>
        <w:snapToGrid/>
        <w:spacing w:beforeAutospacing="0" w:afterAutospacing="0" w:line="560" w:lineRule="exact"/>
        <w:jc w:val="right"/>
        <w:textAlignment w:val="auto"/>
        <w:rPr>
          <w:rFonts w:hint="default" w:ascii="仿宋" w:hAnsi="仿宋" w:eastAsia="仿宋" w:cs="仿宋"/>
          <w:sz w:val="32"/>
          <w:szCs w:val="32"/>
          <w:lang w:val="en-US" w:eastAsia="zh-CN"/>
        </w:rPr>
      </w:pPr>
      <w:r>
        <w:rPr>
          <w:rFonts w:hint="eastAsia" w:ascii="仿宋" w:eastAsia="仿宋" w:cs="仿宋"/>
          <w:sz w:val="32"/>
          <w:szCs w:val="32"/>
          <w:lang w:val="en-US" w:eastAsia="zh-CN"/>
        </w:rPr>
        <w:t xml:space="preserve">                                    2024年3月</w:t>
      </w:r>
    </w:p>
    <w:sectPr>
      <w:footerReference r:id="rId6" w:type="default"/>
      <w:pgSz w:w="11906" w:h="16838"/>
      <w:pgMar w:top="2098" w:right="1474" w:bottom="1985" w:left="1588"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jwVlMkBAACZ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gIljlsc+Pnnj/Ovx/PDd/I2&#10;y9MHqDHrLmBeGt77IadOfkBnZj2oaPMX+RCMo7ini7hySETkR6vlalVhSGBsviAOe3oeIqQP0luS&#10;jYZGnF4RlR8/QRpT55RczflbbQz6eW3cXw7EzB6Wex97zFYadsPU+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iPBWUyQEAAJkDAAAOAAAAAAAAAAEAIAAAAB4BAABkcnMvZTJvRG9j&#10;LnhtbFBLBQYAAAAABgAGAFkBAABZBQ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E9A8A"/>
    <w:multiLevelType w:val="singleLevel"/>
    <w:tmpl w:val="929E9A8A"/>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MjMxNTM3MmE0YmZiOGYyOGU3Yzk0NzQ5NWM4OGIifQ=="/>
  </w:docVars>
  <w:rsids>
    <w:rsidRoot w:val="004F2606"/>
    <w:rsid w:val="000808D3"/>
    <w:rsid w:val="0031293B"/>
    <w:rsid w:val="00452FCD"/>
    <w:rsid w:val="004F2606"/>
    <w:rsid w:val="00520CB4"/>
    <w:rsid w:val="005A643E"/>
    <w:rsid w:val="005E0710"/>
    <w:rsid w:val="00685825"/>
    <w:rsid w:val="00903F42"/>
    <w:rsid w:val="00A81713"/>
    <w:rsid w:val="00AD4161"/>
    <w:rsid w:val="00C97FBC"/>
    <w:rsid w:val="00CA0B6A"/>
    <w:rsid w:val="00EB42F8"/>
    <w:rsid w:val="00FB2DE9"/>
    <w:rsid w:val="01787946"/>
    <w:rsid w:val="019D73AC"/>
    <w:rsid w:val="029C612E"/>
    <w:rsid w:val="03675921"/>
    <w:rsid w:val="041272B7"/>
    <w:rsid w:val="04DA4474"/>
    <w:rsid w:val="0579711A"/>
    <w:rsid w:val="057C377D"/>
    <w:rsid w:val="06E05825"/>
    <w:rsid w:val="07B13BB2"/>
    <w:rsid w:val="09612714"/>
    <w:rsid w:val="09A83534"/>
    <w:rsid w:val="0A722301"/>
    <w:rsid w:val="0B3A4E7E"/>
    <w:rsid w:val="0C670CE3"/>
    <w:rsid w:val="0D4E59FF"/>
    <w:rsid w:val="0D500BC0"/>
    <w:rsid w:val="10F63B5F"/>
    <w:rsid w:val="114C1172"/>
    <w:rsid w:val="13070859"/>
    <w:rsid w:val="1559561F"/>
    <w:rsid w:val="1820407E"/>
    <w:rsid w:val="19433613"/>
    <w:rsid w:val="1B4C5AF8"/>
    <w:rsid w:val="1BBB2B1C"/>
    <w:rsid w:val="1DE74B7E"/>
    <w:rsid w:val="1E1F204A"/>
    <w:rsid w:val="1EB12CD6"/>
    <w:rsid w:val="224C6559"/>
    <w:rsid w:val="245E7725"/>
    <w:rsid w:val="26D819F6"/>
    <w:rsid w:val="27E3389B"/>
    <w:rsid w:val="283F4755"/>
    <w:rsid w:val="28C32C01"/>
    <w:rsid w:val="2A366818"/>
    <w:rsid w:val="2BAE1BB9"/>
    <w:rsid w:val="2CC3523C"/>
    <w:rsid w:val="2CDE1096"/>
    <w:rsid w:val="2E374561"/>
    <w:rsid w:val="308E78BC"/>
    <w:rsid w:val="30C919AE"/>
    <w:rsid w:val="352F2280"/>
    <w:rsid w:val="38265701"/>
    <w:rsid w:val="3A661D2A"/>
    <w:rsid w:val="449B7B37"/>
    <w:rsid w:val="45440EBA"/>
    <w:rsid w:val="45554E75"/>
    <w:rsid w:val="465670F7"/>
    <w:rsid w:val="47180B63"/>
    <w:rsid w:val="473A7FC4"/>
    <w:rsid w:val="474D34D7"/>
    <w:rsid w:val="47B05A23"/>
    <w:rsid w:val="48CB33AD"/>
    <w:rsid w:val="493316BF"/>
    <w:rsid w:val="4A9C5380"/>
    <w:rsid w:val="4BE7641A"/>
    <w:rsid w:val="4F5E0CF5"/>
    <w:rsid w:val="52F932E4"/>
    <w:rsid w:val="535D502D"/>
    <w:rsid w:val="55C345A6"/>
    <w:rsid w:val="57613AC5"/>
    <w:rsid w:val="5780442B"/>
    <w:rsid w:val="58872B56"/>
    <w:rsid w:val="58BB4FE7"/>
    <w:rsid w:val="58CE0D6F"/>
    <w:rsid w:val="5A7A2F5C"/>
    <w:rsid w:val="5ABA3CE7"/>
    <w:rsid w:val="5B1C4013"/>
    <w:rsid w:val="5FC90640"/>
    <w:rsid w:val="5FE5356E"/>
    <w:rsid w:val="631F6786"/>
    <w:rsid w:val="63CD1F5C"/>
    <w:rsid w:val="653B3C30"/>
    <w:rsid w:val="65F31BDB"/>
    <w:rsid w:val="671E74EA"/>
    <w:rsid w:val="678E6713"/>
    <w:rsid w:val="68175A26"/>
    <w:rsid w:val="68827B74"/>
    <w:rsid w:val="6942733B"/>
    <w:rsid w:val="69C8364C"/>
    <w:rsid w:val="6A5135AE"/>
    <w:rsid w:val="6BEF307E"/>
    <w:rsid w:val="6CB57BC7"/>
    <w:rsid w:val="6D806684"/>
    <w:rsid w:val="6EE93461"/>
    <w:rsid w:val="7080244B"/>
    <w:rsid w:val="70AC7718"/>
    <w:rsid w:val="70EC539D"/>
    <w:rsid w:val="71CF4C28"/>
    <w:rsid w:val="72912870"/>
    <w:rsid w:val="72DB2E37"/>
    <w:rsid w:val="7385227C"/>
    <w:rsid w:val="77CD34CC"/>
    <w:rsid w:val="78236589"/>
    <w:rsid w:val="7A032415"/>
    <w:rsid w:val="7C0C5427"/>
    <w:rsid w:val="7F085136"/>
    <w:rsid w:val="7F2A06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jc w:val="center"/>
    </w:pPr>
    <w:rPr>
      <w:rFonts w:ascii="方正小标宋简体" w:hAnsi="仿宋" w:eastAsia="方正小标宋简体" w:cs="宋体"/>
      <w:kern w:val="2"/>
      <w:sz w:val="24"/>
      <w:szCs w:val="32"/>
      <w:lang w:val="en-US" w:eastAsia="zh-CN" w:bidi="ar-SA"/>
    </w:rPr>
  </w:style>
  <w:style w:type="paragraph" w:styleId="2">
    <w:name w:val="heading 1"/>
    <w:basedOn w:val="1"/>
    <w:next w:val="1"/>
    <w:link w:val="21"/>
    <w:autoRedefine/>
    <w:qFormat/>
    <w:uiPriority w:val="0"/>
    <w:pPr>
      <w:keepNext/>
      <w:keepLines/>
      <w:spacing w:before="340" w:after="330" w:line="578" w:lineRule="atLeast"/>
      <w:outlineLvl w:val="0"/>
    </w:pPr>
    <w:rPr>
      <w:b/>
      <w:bCs/>
      <w:kern w:val="44"/>
      <w:sz w:val="44"/>
      <w:szCs w:val="44"/>
    </w:rPr>
  </w:style>
  <w:style w:type="paragraph" w:styleId="3">
    <w:name w:val="heading 2"/>
    <w:basedOn w:val="1"/>
    <w:next w:val="1"/>
    <w:link w:val="19"/>
    <w:autoRedefine/>
    <w:qFormat/>
    <w:uiPriority w:val="9"/>
    <w:pPr>
      <w:keepNext/>
      <w:keepLines/>
      <w:spacing w:before="260" w:after="260" w:line="413" w:lineRule="auto"/>
      <w:outlineLvl w:val="1"/>
    </w:pPr>
    <w:rPr>
      <w:rFonts w:ascii="Cambria" w:hAnsi="Cambria" w:eastAsia="宋体" w:cs="Times New Roman"/>
      <w:b/>
      <w:bCs/>
    </w:rPr>
  </w:style>
  <w:style w:type="paragraph" w:styleId="4">
    <w:name w:val="heading 3"/>
    <w:basedOn w:val="1"/>
    <w:next w:val="1"/>
    <w:link w:val="22"/>
    <w:autoRedefine/>
    <w:unhideWhenUsed/>
    <w:qFormat/>
    <w:uiPriority w:val="0"/>
    <w:pPr>
      <w:keepNext/>
      <w:keepLines/>
      <w:spacing w:before="260" w:after="260" w:line="416" w:lineRule="atLeast"/>
      <w:outlineLvl w:val="2"/>
    </w:pPr>
    <w:rPr>
      <w:b/>
      <w:bCs/>
    </w:rPr>
  </w:style>
  <w:style w:type="paragraph" w:styleId="5">
    <w:name w:val="heading 4"/>
    <w:basedOn w:val="1"/>
    <w:next w:val="1"/>
    <w:link w:val="23"/>
    <w:autoRedefine/>
    <w:unhideWhenUsed/>
    <w:qFormat/>
    <w:uiPriority w:val="0"/>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autoRedefine/>
    <w:qFormat/>
    <w:uiPriority w:val="0"/>
    <w:pPr>
      <w:spacing w:after="120"/>
    </w:pPr>
  </w:style>
  <w:style w:type="paragraph" w:styleId="7">
    <w:name w:val="toc 3"/>
    <w:basedOn w:val="1"/>
    <w:next w:val="1"/>
    <w:autoRedefine/>
    <w:semiHidden/>
    <w:unhideWhenUsed/>
    <w:qFormat/>
    <w:uiPriority w:val="39"/>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0">
    <w:name w:val="toc 1"/>
    <w:basedOn w:val="1"/>
    <w:next w:val="1"/>
    <w:autoRedefine/>
    <w:unhideWhenUsed/>
    <w:qFormat/>
    <w:uiPriority w:val="39"/>
  </w:style>
  <w:style w:type="paragraph" w:styleId="11">
    <w:name w:val="toc 2"/>
    <w:basedOn w:val="1"/>
    <w:next w:val="1"/>
    <w:autoRedefine/>
    <w:unhideWhenUsed/>
    <w:qFormat/>
    <w:uiPriority w:val="39"/>
    <w:pPr>
      <w:ind w:left="420" w:leftChars="200"/>
    </w:pPr>
  </w:style>
  <w:style w:type="paragraph" w:styleId="12">
    <w:name w:val="Normal (Web)"/>
    <w:basedOn w:val="1"/>
    <w:autoRedefine/>
    <w:qFormat/>
    <w:uiPriority w:val="0"/>
    <w:pPr>
      <w:spacing w:beforeAutospacing="1" w:afterAutospacing="1"/>
      <w:jc w:val="left"/>
    </w:pPr>
    <w:rPr>
      <w:rFonts w:cs="Times New Roman"/>
      <w:kern w:val="0"/>
    </w:rPr>
  </w:style>
  <w:style w:type="paragraph" w:styleId="13">
    <w:name w:val="Title"/>
    <w:basedOn w:val="1"/>
    <w:next w:val="1"/>
    <w:link w:val="20"/>
    <w:autoRedefine/>
    <w:qFormat/>
    <w:uiPriority w:val="0"/>
    <w:pPr>
      <w:spacing w:before="240" w:after="60"/>
      <w:outlineLvl w:val="0"/>
    </w:pPr>
    <w:rPr>
      <w:rFonts w:eastAsia="宋体" w:asciiTheme="majorHAnsi" w:hAnsiTheme="majorHAnsi" w:cstheme="majorBidi"/>
      <w:b/>
      <w:bCs/>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autoRedefine/>
    <w:qFormat/>
    <w:uiPriority w:val="0"/>
    <w:rPr>
      <w:b/>
    </w:rPr>
  </w:style>
  <w:style w:type="paragraph" w:customStyle="1" w:styleId="18">
    <w:name w:val="一、"/>
    <w:basedOn w:val="1"/>
    <w:autoRedefine/>
    <w:qFormat/>
    <w:uiPriority w:val="0"/>
    <w:rPr>
      <w:sz w:val="18"/>
      <w:szCs w:val="20"/>
    </w:rPr>
  </w:style>
  <w:style w:type="character" w:customStyle="1" w:styleId="19">
    <w:name w:val="标题 2 Char"/>
    <w:basedOn w:val="16"/>
    <w:link w:val="3"/>
    <w:autoRedefine/>
    <w:qFormat/>
    <w:uiPriority w:val="9"/>
    <w:rPr>
      <w:rFonts w:ascii="Cambria" w:hAnsi="Cambria"/>
      <w:b/>
      <w:bCs/>
      <w:kern w:val="2"/>
      <w:sz w:val="32"/>
      <w:szCs w:val="32"/>
    </w:rPr>
  </w:style>
  <w:style w:type="character" w:customStyle="1" w:styleId="20">
    <w:name w:val="标题 Char"/>
    <w:basedOn w:val="16"/>
    <w:link w:val="13"/>
    <w:autoRedefine/>
    <w:qFormat/>
    <w:uiPriority w:val="0"/>
    <w:rPr>
      <w:rFonts w:asciiTheme="majorHAnsi" w:hAnsiTheme="majorHAnsi" w:cstheme="majorBidi"/>
      <w:b/>
      <w:bCs/>
      <w:kern w:val="2"/>
      <w:sz w:val="32"/>
      <w:szCs w:val="32"/>
    </w:rPr>
  </w:style>
  <w:style w:type="character" w:customStyle="1" w:styleId="21">
    <w:name w:val="标题 1 Char"/>
    <w:basedOn w:val="16"/>
    <w:link w:val="2"/>
    <w:autoRedefine/>
    <w:qFormat/>
    <w:uiPriority w:val="0"/>
    <w:rPr>
      <w:rFonts w:ascii="方正小标宋简体" w:hAnsi="仿宋" w:eastAsia="方正小标宋简体" w:cs="宋体"/>
      <w:b/>
      <w:bCs/>
      <w:kern w:val="44"/>
      <w:sz w:val="44"/>
      <w:szCs w:val="44"/>
    </w:rPr>
  </w:style>
  <w:style w:type="character" w:customStyle="1" w:styleId="22">
    <w:name w:val="标题 3 Char"/>
    <w:basedOn w:val="16"/>
    <w:link w:val="4"/>
    <w:autoRedefine/>
    <w:qFormat/>
    <w:uiPriority w:val="0"/>
    <w:rPr>
      <w:rFonts w:ascii="方正小标宋简体" w:hAnsi="仿宋" w:eastAsia="方正小标宋简体" w:cs="宋体"/>
      <w:b/>
      <w:bCs/>
      <w:kern w:val="2"/>
      <w:sz w:val="32"/>
      <w:szCs w:val="32"/>
    </w:rPr>
  </w:style>
  <w:style w:type="character" w:customStyle="1" w:styleId="23">
    <w:name w:val="标题 4 Char"/>
    <w:basedOn w:val="16"/>
    <w:link w:val="5"/>
    <w:autoRedefine/>
    <w:qFormat/>
    <w:uiPriority w:val="0"/>
    <w:rPr>
      <w:rFonts w:asciiTheme="majorHAnsi" w:hAnsiTheme="majorHAnsi" w:eastAsiaTheme="majorEastAsia" w:cstheme="majorBidi"/>
      <w:b/>
      <w:bCs/>
      <w:kern w:val="2"/>
      <w:sz w:val="28"/>
      <w:szCs w:val="28"/>
    </w:rPr>
  </w:style>
  <w:style w:type="paragraph" w:customStyle="1" w:styleId="2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31</Pages>
  <Words>8704</Words>
  <Characters>9334</Characters>
  <Lines>79</Lines>
  <Paragraphs>22</Paragraphs>
  <TotalTime>20</TotalTime>
  <ScaleCrop>false</ScaleCrop>
  <LinksUpToDate>false</LinksUpToDate>
  <CharactersWithSpaces>9674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我是胜男呀！</cp:lastModifiedBy>
  <dcterms:modified xsi:type="dcterms:W3CDTF">2024-03-25T08:21:51Z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EFE861F8603E41D1A736F36470110B01_13</vt:lpwstr>
  </property>
</Properties>
</file>