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435" w:afterLines="100" w:line="360" w:lineRule="auto"/>
        <w:rPr>
          <w:rFonts w:ascii="方正小标宋简体" w:hAnsi="方正小标宋简体" w:eastAsia="方正小标宋简体" w:cs="方正小标宋简体"/>
          <w:b/>
          <w:bCs/>
          <w:sz w:val="32"/>
          <w:szCs w:val="32"/>
        </w:rPr>
      </w:pPr>
      <w:bookmarkStart w:id="0" w:name="bookmark1"/>
      <w:bookmarkEnd w:id="0"/>
    </w:p>
    <w:p>
      <w:pPr>
        <w:adjustRightInd w:val="0"/>
        <w:snapToGrid w:val="0"/>
        <w:spacing w:after="435" w:afterLines="100" w:line="360" w:lineRule="auto"/>
        <w:rPr>
          <w:rFonts w:ascii="方正小标宋简体" w:hAnsi="方正小标宋简体" w:eastAsia="方正小标宋简体" w:cs="方正小标宋简体"/>
          <w:b/>
          <w:bCs/>
          <w:sz w:val="32"/>
          <w:szCs w:val="32"/>
        </w:rPr>
      </w:pPr>
    </w:p>
    <w:p>
      <w:pPr>
        <w:adjustRightInd w:val="0"/>
        <w:snapToGrid w:val="0"/>
        <w:spacing w:after="435" w:afterLines="100" w:line="360" w:lineRule="auto"/>
        <w:rPr>
          <w:rFonts w:ascii="方正小标宋简体" w:hAnsi="方正小标宋简体" w:eastAsia="方正小标宋简体" w:cs="方正小标宋简体"/>
          <w:b/>
          <w:bCs/>
          <w:sz w:val="32"/>
          <w:szCs w:val="32"/>
        </w:rPr>
      </w:pPr>
    </w:p>
    <w:p>
      <w:pPr>
        <w:adjustRightInd w:val="0"/>
        <w:snapToGrid w:val="0"/>
        <w:spacing w:after="435" w:afterLines="100" w:line="360" w:lineRule="auto"/>
        <w:jc w:val="center"/>
        <w:outlineLvl w:val="9"/>
        <w:rPr>
          <w:rFonts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美发与形象</w:t>
      </w:r>
      <w:r>
        <w:rPr>
          <w:rFonts w:hint="eastAsia" w:ascii="方正小标宋简体" w:hAnsi="方正小标宋简体" w:eastAsia="方正小标宋简体" w:cs="方正小标宋简体"/>
          <w:b w:val="0"/>
          <w:bCs w:val="0"/>
          <w:sz w:val="44"/>
          <w:szCs w:val="44"/>
        </w:rPr>
        <w:t>设计专业人才培养方案</w:t>
      </w:r>
    </w:p>
    <w:p>
      <w:pPr>
        <w:adjustRightInd w:val="0"/>
        <w:snapToGrid w:val="0"/>
        <w:spacing w:after="435" w:afterLines="100" w:line="360" w:lineRule="auto"/>
        <w:jc w:val="center"/>
        <w:rPr>
          <w:rFonts w:ascii="方正小标宋简体" w:hAnsi="方正小标宋简体" w:eastAsia="方正小标宋简体" w:cs="方正小标宋简体"/>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jc w:val="center"/>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威海</w:t>
      </w:r>
      <w:r>
        <w:rPr>
          <w:rFonts w:hint="eastAsia" w:ascii="楷体_GB2312" w:hAnsi="楷体_GB2312" w:eastAsia="楷体_GB2312" w:cs="楷体_GB2312"/>
          <w:sz w:val="32"/>
          <w:szCs w:val="32"/>
          <w:lang w:val="en-US" w:eastAsia="zh-CN"/>
        </w:rPr>
        <w:t>智慧谷</w:t>
      </w:r>
      <w:r>
        <w:rPr>
          <w:rFonts w:hint="eastAsia" w:ascii="楷体_GB2312" w:hAnsi="楷体_GB2312" w:eastAsia="楷体_GB2312" w:cs="楷体_GB2312"/>
          <w:sz w:val="32"/>
          <w:szCs w:val="32"/>
        </w:rPr>
        <w:t>职业中等专业学校</w:t>
      </w:r>
    </w:p>
    <w:p>
      <w:pPr>
        <w:adjustRightInd w:val="0"/>
        <w:snapToGrid w:val="0"/>
        <w:spacing w:after="435" w:afterLines="100"/>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sz w:val="32"/>
          <w:szCs w:val="32"/>
        </w:rPr>
        <w:t>年</w:t>
      </w: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月</w:t>
      </w:r>
    </w:p>
    <w:p>
      <w:pPr>
        <w:spacing w:before="104" w:line="223" w:lineRule="auto"/>
        <w:ind w:left="4388"/>
        <w:rPr>
          <w:rFonts w:hint="eastAsia" w:ascii="仿宋" w:hAnsi="仿宋" w:eastAsia="仿宋" w:cs="仿宋"/>
          <w:sz w:val="32"/>
          <w:szCs w:val="32"/>
        </w:rPr>
      </w:pPr>
    </w:p>
    <w:p>
      <w:pPr>
        <w:spacing w:before="104" w:line="223" w:lineRule="auto"/>
        <w:ind w:left="4388"/>
        <w:rPr>
          <w:rFonts w:hint="eastAsia" w:ascii="仿宋" w:hAnsi="仿宋" w:eastAsia="仿宋" w:cs="仿宋"/>
          <w:sz w:val="32"/>
          <w:szCs w:val="32"/>
        </w:rPr>
        <w:sectPr>
          <w:pgSz w:w="11906" w:h="16838"/>
          <w:pgMar w:top="2098" w:right="1474" w:bottom="1984" w:left="1587" w:header="851" w:footer="992" w:gutter="0"/>
          <w:pgNumType w:fmt="decimal"/>
          <w:cols w:space="425" w:num="1"/>
          <w:docGrid w:type="lines" w:linePitch="312" w:charSpace="0"/>
        </w:sectPr>
      </w:pPr>
    </w:p>
    <w:sdt>
      <w:sdtPr>
        <w:rPr>
          <w:rFonts w:hint="eastAsia" w:ascii="仿宋" w:hAnsi="仿宋" w:eastAsia="仿宋" w:cs="仿宋"/>
          <w:kern w:val="2"/>
          <w:sz w:val="32"/>
          <w:szCs w:val="32"/>
          <w:lang w:val="en-US" w:eastAsia="zh-CN" w:bidi="ar-SA"/>
        </w:rPr>
        <w:id w:val="147470010"/>
        <w15:color w:val="DBDBDB"/>
        <w:docPartObj>
          <w:docPartGallery w:val="Table of Contents"/>
          <w:docPartUnique/>
        </w:docPartObj>
      </w:sdtPr>
      <w:sdtEndPr>
        <w:rPr>
          <w:rFonts w:hint="eastAsia" w:ascii="方正小标宋简体" w:hAnsi="方正小标宋简体" w:eastAsia="方正小标宋简体" w:cs="方正小标宋简体"/>
          <w:kern w:val="2"/>
          <w:sz w:val="21"/>
          <w:szCs w:val="44"/>
          <w:lang w:val="en-US" w:eastAsia="zh-CN" w:bidi="ar-SA"/>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32"/>
              <w:szCs w:val="32"/>
            </w:rPr>
          </w:pPr>
          <w:bookmarkStart w:id="44" w:name="_GoBack"/>
          <w:bookmarkEnd w:id="44"/>
          <w:r>
            <w:rPr>
              <w:rFonts w:hint="eastAsia" w:ascii="仿宋_GB2312" w:hAnsi="仿宋_GB2312" w:eastAsia="仿宋_GB2312" w:cs="仿宋_GB2312"/>
              <w:sz w:val="32"/>
              <w:szCs w:val="32"/>
            </w:rPr>
            <w:t>目录</w:t>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_Toc32038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_Toc32038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_Toc29852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_Toc29852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_Toc29516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_Toc29516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_Toc22836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四、职业面向</w:t>
          </w:r>
          <w:r>
            <w:rPr>
              <w:rFonts w:hint="eastAsia" w:ascii="仿宋_GB2312" w:hAnsi="仿宋_GB2312" w:eastAsia="仿宋_GB2312" w:cs="仿宋_GB2312"/>
              <w:sz w:val="32"/>
              <w:szCs w:val="32"/>
              <w:highlight w:val="none"/>
              <w:lang w:val="en-US" w:eastAsia="zh-CN"/>
            </w:rPr>
            <w:t>及接续专业</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_Toc22836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_Toc3586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、培养目标与</w:t>
          </w:r>
          <w:r>
            <w:rPr>
              <w:rFonts w:hint="eastAsia" w:ascii="仿宋_GB2312" w:hAnsi="仿宋_GB2312" w:eastAsia="仿宋_GB2312" w:cs="仿宋_GB2312"/>
              <w:sz w:val="32"/>
              <w:szCs w:val="32"/>
              <w:lang w:val="en-US" w:eastAsia="zh-CN"/>
            </w:rPr>
            <w:t>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_Toc3586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_Toc22195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_Toc22195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_Toc14143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_Toc14143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_Toc21999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lang w:val="en-US" w:eastAsia="zh-CN"/>
            </w:rPr>
            <w:t>六、</w:t>
          </w:r>
          <w:r>
            <w:rPr>
              <w:rFonts w:hint="eastAsia" w:ascii="仿宋_GB2312" w:hAnsi="仿宋_GB2312" w:eastAsia="仿宋_GB2312" w:cs="仿宋_GB2312"/>
              <w:kern w:val="0"/>
              <w:sz w:val="32"/>
              <w:szCs w:val="32"/>
            </w:rPr>
            <w:t>课程设置及要求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_Toc10321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_Toc10321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_Toc6026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（二）专业（技能）课程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_Toc6026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_Toc437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_Toc6882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基本要求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_Toc6882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教学时间安排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_Toc415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教学进程安排表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_Toc8063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val="en-US" w:eastAsia="zh-CN" w:bidi="ar"/>
            </w:rPr>
            <w:t>八</w:t>
          </w:r>
          <w:r>
            <w:rPr>
              <w:rFonts w:hint="eastAsia" w:ascii="仿宋_GB2312" w:hAnsi="仿宋_GB2312" w:eastAsia="仿宋_GB2312" w:cs="仿宋_GB2312"/>
              <w:kern w:val="0"/>
              <w:sz w:val="32"/>
              <w:szCs w:val="32"/>
              <w:shd w:val="clear" w:color="auto" w:fill="FFFFFF"/>
              <w:lang w:bidi="ar"/>
            </w:rPr>
            <w:t>、实施保障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_Toc8063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_Toc31905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（一）</w:t>
          </w:r>
          <w:r>
            <w:rPr>
              <w:rFonts w:hint="eastAsia" w:ascii="仿宋_GB2312" w:hAnsi="仿宋_GB2312" w:eastAsia="仿宋_GB2312" w:cs="仿宋_GB2312"/>
              <w:sz w:val="32"/>
              <w:szCs w:val="32"/>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_Toc31905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_Toc18020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_Toc18020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_Toc30036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_Toc30036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_Toc29900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_Toc29900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_Toc32440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_Toc32440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（六）</w:t>
          </w:r>
          <w:r>
            <w:rPr>
              <w:rFonts w:hint="eastAsia" w:ascii="仿宋_GB2312" w:hAnsi="仿宋_GB2312" w:eastAsia="仿宋_GB2312" w:cs="仿宋_GB2312"/>
              <w:sz w:val="32"/>
              <w:szCs w:val="32"/>
            </w:rPr>
            <w:t>质量管理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_Toc13216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_Toc13216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_Toc27909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eastAsia="zh-CN" w:bidi="ar"/>
            </w:rPr>
            <w:t>（</w:t>
          </w:r>
          <w:r>
            <w:rPr>
              <w:rFonts w:hint="eastAsia" w:ascii="仿宋_GB2312" w:hAnsi="仿宋_GB2312" w:eastAsia="仿宋_GB2312" w:cs="仿宋_GB2312"/>
              <w:kern w:val="0"/>
              <w:sz w:val="32"/>
              <w:szCs w:val="32"/>
              <w:shd w:val="clear" w:color="auto" w:fill="FFFFFF"/>
              <w:lang w:val="en-US" w:eastAsia="zh-CN" w:bidi="ar"/>
            </w:rPr>
            <w:t>一）</w:t>
          </w:r>
          <w:r>
            <w:rPr>
              <w:rFonts w:hint="eastAsia" w:ascii="仿宋_GB2312" w:hAnsi="仿宋_GB2312" w:eastAsia="仿宋_GB2312" w:cs="仿宋_GB2312"/>
              <w:kern w:val="0"/>
              <w:sz w:val="32"/>
              <w:szCs w:val="32"/>
              <w:shd w:val="clear" w:color="auto" w:fill="FFFFFF"/>
              <w:lang w:bidi="ar"/>
            </w:rPr>
            <w:t>思想品德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_Toc27909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_Toc5111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eastAsia="zh-CN" w:bidi="ar"/>
            </w:rPr>
            <w:t>（</w:t>
          </w:r>
          <w:r>
            <w:rPr>
              <w:rFonts w:hint="eastAsia" w:ascii="仿宋_GB2312" w:hAnsi="仿宋_GB2312" w:eastAsia="仿宋_GB2312" w:cs="仿宋_GB2312"/>
              <w:kern w:val="0"/>
              <w:sz w:val="32"/>
              <w:szCs w:val="32"/>
              <w:shd w:val="clear" w:color="auto" w:fill="FFFFFF"/>
              <w:lang w:val="en-US" w:eastAsia="zh-CN" w:bidi="ar"/>
            </w:rPr>
            <w:t>二）</w:t>
          </w:r>
          <w:r>
            <w:rPr>
              <w:rFonts w:hint="eastAsia" w:ascii="仿宋_GB2312" w:hAnsi="仿宋_GB2312" w:eastAsia="仿宋_GB2312" w:cs="仿宋_GB2312"/>
              <w:kern w:val="0"/>
              <w:sz w:val="32"/>
              <w:szCs w:val="32"/>
              <w:shd w:val="clear" w:color="auto" w:fill="FFFFFF"/>
              <w:lang w:bidi="ar"/>
            </w:rPr>
            <w:t>学业成绩</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_Toc5111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eastAsia="zh-CN" w:bidi="ar"/>
            </w:rPr>
            <w:t>（</w:t>
          </w:r>
          <w:r>
            <w:rPr>
              <w:rFonts w:hint="eastAsia" w:ascii="仿宋_GB2312" w:hAnsi="仿宋_GB2312" w:eastAsia="仿宋_GB2312" w:cs="仿宋_GB2312"/>
              <w:kern w:val="0"/>
              <w:sz w:val="32"/>
              <w:szCs w:val="32"/>
              <w:shd w:val="clear" w:color="auto" w:fill="FFFFFF"/>
              <w:lang w:val="en-US" w:eastAsia="zh-CN" w:bidi="ar"/>
            </w:rPr>
            <w:t>三</w:t>
          </w:r>
          <w:r>
            <w:rPr>
              <w:rFonts w:hint="eastAsia" w:ascii="仿宋_GB2312" w:hAnsi="仿宋_GB2312" w:eastAsia="仿宋_GB2312" w:cs="仿宋_GB2312"/>
              <w:kern w:val="0"/>
              <w:sz w:val="32"/>
              <w:szCs w:val="32"/>
              <w:shd w:val="clear" w:color="auto" w:fill="FFFFFF"/>
              <w:lang w:eastAsia="zh-CN" w:bidi="ar"/>
            </w:rPr>
            <w:t>）</w:t>
          </w:r>
          <w:r>
            <w:rPr>
              <w:rFonts w:hint="eastAsia" w:ascii="仿宋_GB2312" w:hAnsi="仿宋_GB2312" w:eastAsia="仿宋_GB2312" w:cs="仿宋_GB2312"/>
              <w:kern w:val="0"/>
              <w:sz w:val="32"/>
              <w:szCs w:val="32"/>
              <w:shd w:val="clear" w:color="auto" w:fill="FFFFFF"/>
              <w:lang w:bidi="ar"/>
            </w:rPr>
            <w:t>实习合格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outlineLvl w:val="9"/>
            <w:rPr>
              <w:rFonts w:hint="eastAsia" w:ascii="方正小标宋简体" w:hAnsi="方正小标宋简体" w:eastAsia="方正小标宋简体" w:cs="方正小标宋简体"/>
              <w:sz w:val="44"/>
              <w:szCs w:val="44"/>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sz w:val="32"/>
              <w:szCs w:val="32"/>
            </w:rPr>
            <w:fldChar w:fldCharType="end"/>
          </w:r>
        </w:p>
      </w:sdtContent>
    </w:sdt>
    <w:p>
      <w:pPr>
        <w:keepNext w:val="0"/>
        <w:keepLines w:val="0"/>
        <w:pageBreakBefore w:val="0"/>
        <w:widowControl w:val="0"/>
        <w:kinsoku/>
        <w:wordWrap/>
        <w:overflowPunct/>
        <w:topLinePunct w:val="0"/>
        <w:autoSpaceDE/>
        <w:autoSpaceDN/>
        <w:bidi w:val="0"/>
        <w:adjustRightInd/>
        <w:snapToGrid/>
        <w:spacing w:line="560" w:lineRule="exact"/>
        <w:ind w:left="0" w:firstLine="880" w:firstLineChars="20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美发与形象设计专业人才培养方案</w:t>
      </w:r>
    </w:p>
    <w:p>
      <w:pPr>
        <w:keepNext w:val="0"/>
        <w:keepLines w:val="0"/>
        <w:pageBreakBefore w:val="0"/>
        <w:widowControl w:val="0"/>
        <w:kinsoku/>
        <w:wordWrap/>
        <w:overflowPunct/>
        <w:topLinePunct w:val="0"/>
        <w:autoSpaceDE/>
        <w:bidi w:val="0"/>
        <w:adjustRightInd w:val="0"/>
        <w:snapToGrid w:val="0"/>
        <w:spacing w:line="560" w:lineRule="exact"/>
        <w:ind w:left="0" w:firstLine="640" w:firstLineChars="200"/>
        <w:textAlignment w:val="auto"/>
        <w:outlineLvl w:val="0"/>
        <w:rPr>
          <w:rFonts w:hint="eastAsia" w:ascii="黑体" w:hAnsi="黑体" w:eastAsia="黑体" w:cs="黑体"/>
          <w:sz w:val="32"/>
          <w:szCs w:val="32"/>
        </w:rPr>
      </w:pPr>
      <w:bookmarkStart w:id="1" w:name="_Toc32038"/>
    </w:p>
    <w:p>
      <w:pPr>
        <w:keepNext w:val="0"/>
        <w:keepLines w:val="0"/>
        <w:pageBreakBefore w:val="0"/>
        <w:widowControl w:val="0"/>
        <w:kinsoku/>
        <w:wordWrap/>
        <w:overflowPunct/>
        <w:topLinePunct w:val="0"/>
        <w:autoSpaceDE/>
        <w:bidi w:val="0"/>
        <w:adjustRightInd w:val="0"/>
        <w:snapToGrid w:val="0"/>
        <w:spacing w:line="560" w:lineRule="exact"/>
        <w:ind w:left="0" w:firstLine="640" w:firstLineChars="200"/>
        <w:textAlignment w:val="auto"/>
        <w:outlineLvl w:val="0"/>
        <w:rPr>
          <w:rFonts w:ascii="黑体" w:hAnsi="黑体" w:eastAsia="黑体" w:cs="黑体"/>
          <w:sz w:val="32"/>
          <w:szCs w:val="32"/>
        </w:rPr>
      </w:pPr>
      <w:r>
        <w:rPr>
          <w:rFonts w:hint="eastAsia" w:ascii="黑体" w:hAnsi="黑体" w:eastAsia="黑体" w:cs="黑体"/>
          <w:sz w:val="32"/>
          <w:szCs w:val="32"/>
        </w:rPr>
        <w:t>一、专业名称及代码</w:t>
      </w:r>
      <w:bookmarkEnd w:id="1"/>
    </w:p>
    <w:p>
      <w:pPr>
        <w:keepNext w:val="0"/>
        <w:keepLines w:val="0"/>
        <w:pageBreakBefore w:val="0"/>
        <w:widowControl w:val="0"/>
        <w:kinsoku/>
        <w:wordWrap/>
        <w:overflowPunct/>
        <w:topLinePunct w:val="0"/>
        <w:autoSpaceDE/>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1.专业</w:t>
      </w:r>
      <w:r>
        <w:rPr>
          <w:rFonts w:hint="eastAsia" w:ascii="仿宋_GB2312" w:hAnsi="仿宋_GB2312" w:eastAsia="仿宋_GB2312" w:cs="仿宋_GB2312"/>
          <w:sz w:val="32"/>
          <w:szCs w:val="32"/>
          <w:lang w:val="en-US" w:eastAsia="zh-CN"/>
        </w:rPr>
        <w:t>大类及代码：文化艺术大类（75）</w:t>
      </w:r>
    </w:p>
    <w:p>
      <w:pPr>
        <w:keepNext w:val="0"/>
        <w:keepLines w:val="0"/>
        <w:pageBreakBefore w:val="0"/>
        <w:widowControl w:val="0"/>
        <w:kinsoku/>
        <w:wordWrap/>
        <w:overflowPunct/>
        <w:topLinePunct w:val="0"/>
        <w:autoSpaceDE/>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2.专业类别及代码：艺术设计类（7501）</w:t>
      </w:r>
    </w:p>
    <w:p>
      <w:pPr>
        <w:keepNext w:val="0"/>
        <w:keepLines w:val="0"/>
        <w:pageBreakBefore w:val="0"/>
        <w:widowControl w:val="0"/>
        <w:kinsoku/>
        <w:wordWrap/>
        <w:overflowPunct/>
        <w:topLinePunct w:val="0"/>
        <w:autoSpaceDE/>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专业名称</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代码：</w:t>
      </w:r>
      <w:r>
        <w:rPr>
          <w:rFonts w:hint="eastAsia" w:ascii="仿宋_GB2312" w:hAnsi="仿宋_GB2312" w:eastAsia="仿宋_GB2312" w:cs="仿宋_GB2312"/>
          <w:sz w:val="32"/>
          <w:szCs w:val="32"/>
          <w:lang w:val="en-US" w:eastAsia="zh-CN"/>
        </w:rPr>
        <w:t>美发与形象设计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lang w:val="en-US" w:eastAsia="zh-CN"/>
        </w:rPr>
        <w:t>750110）</w:t>
      </w:r>
    </w:p>
    <w:p>
      <w:pPr>
        <w:pStyle w:val="10"/>
        <w:keepNext w:val="0"/>
        <w:keepLines w:val="0"/>
        <w:pageBreakBefore w:val="0"/>
        <w:widowControl w:val="0"/>
        <w:kinsoku/>
        <w:wordWrap/>
        <w:overflowPunct/>
        <w:topLinePunct w:val="0"/>
        <w:autoSpaceDE/>
        <w:bidi w:val="0"/>
        <w:adjustRightInd w:val="0"/>
        <w:snapToGrid w:val="0"/>
        <w:spacing w:before="0" w:beforeAutospacing="0" w:after="0" w:afterAutospacing="0" w:line="560" w:lineRule="exact"/>
        <w:ind w:left="0" w:firstLine="640" w:firstLineChars="200"/>
        <w:textAlignment w:val="auto"/>
        <w:outlineLvl w:val="0"/>
        <w:rPr>
          <w:rFonts w:ascii="黑体" w:hAnsi="黑体" w:eastAsia="黑体" w:cs="黑体"/>
          <w:sz w:val="32"/>
          <w:szCs w:val="32"/>
        </w:rPr>
      </w:pPr>
      <w:bookmarkStart w:id="2" w:name="_Toc29852"/>
      <w:r>
        <w:rPr>
          <w:rFonts w:hint="eastAsia" w:ascii="黑体" w:hAnsi="黑体" w:eastAsia="黑体" w:cs="黑体"/>
          <w:sz w:val="32"/>
          <w:szCs w:val="32"/>
        </w:rPr>
        <w:t>二、入学要求</w:t>
      </w:r>
      <w:bookmarkEnd w:id="2"/>
    </w:p>
    <w:p>
      <w:pPr>
        <w:keepNext w:val="0"/>
        <w:keepLines w:val="0"/>
        <w:pageBreakBefore w:val="0"/>
        <w:widowControl w:val="0"/>
        <w:kinsoku/>
        <w:wordWrap/>
        <w:overflowPunct/>
        <w:topLinePunct w:val="0"/>
        <w:autoSpaceDE/>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初中毕业生或具有同等学力者</w:t>
      </w:r>
    </w:p>
    <w:p>
      <w:pPr>
        <w:keepNext w:val="0"/>
        <w:keepLines w:val="0"/>
        <w:pageBreakBefore w:val="0"/>
        <w:widowControl w:val="0"/>
        <w:kinsoku/>
        <w:wordWrap/>
        <w:overflowPunct/>
        <w:topLinePunct w:val="0"/>
        <w:autoSpaceDE/>
        <w:bidi w:val="0"/>
        <w:adjustRightInd w:val="0"/>
        <w:snapToGrid w:val="0"/>
        <w:spacing w:line="560" w:lineRule="exact"/>
        <w:ind w:left="0" w:firstLine="640" w:firstLineChars="200"/>
        <w:textAlignment w:val="auto"/>
        <w:outlineLvl w:val="0"/>
        <w:rPr>
          <w:rFonts w:ascii="黑体" w:hAnsi="黑体" w:eastAsia="黑体" w:cs="黑体"/>
          <w:sz w:val="32"/>
          <w:szCs w:val="32"/>
        </w:rPr>
      </w:pPr>
      <w:bookmarkStart w:id="3" w:name="_Toc29516"/>
      <w:r>
        <w:rPr>
          <w:rFonts w:hint="eastAsia" w:ascii="黑体" w:hAnsi="黑体" w:eastAsia="黑体" w:cs="黑体"/>
          <w:sz w:val="32"/>
          <w:szCs w:val="32"/>
        </w:rPr>
        <w:t>三、修业年限</w:t>
      </w:r>
      <w:bookmarkEnd w:id="3"/>
    </w:p>
    <w:p>
      <w:pPr>
        <w:pStyle w:val="10"/>
        <w:keepNext w:val="0"/>
        <w:keepLines w:val="0"/>
        <w:pageBreakBefore w:val="0"/>
        <w:widowControl w:val="0"/>
        <w:kinsoku/>
        <w:wordWrap/>
        <w:overflowPunct/>
        <w:topLinePunct w:val="0"/>
        <w:autoSpaceDE/>
        <w:bidi w:val="0"/>
        <w:adjustRightInd w:val="0"/>
        <w:snapToGrid w:val="0"/>
        <w:spacing w:before="0" w:beforeAutospacing="0" w:after="0" w:afterAutospacing="0"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bookmarkStart w:id="4" w:name="_Toc22836"/>
      <w:r>
        <w:rPr>
          <w:rFonts w:hint="eastAsia" w:ascii="仿宋_GB2312" w:hAnsi="仿宋_GB2312" w:eastAsia="仿宋_GB2312" w:cs="仿宋_GB2312"/>
          <w:sz w:val="32"/>
          <w:szCs w:val="32"/>
          <w:highlight w:val="none"/>
          <w:lang w:val="en-US" w:eastAsia="zh-CN"/>
        </w:rPr>
        <w:t>三年</w:t>
      </w:r>
    </w:p>
    <w:p>
      <w:pPr>
        <w:pStyle w:val="10"/>
        <w:keepNext w:val="0"/>
        <w:keepLines w:val="0"/>
        <w:pageBreakBefore w:val="0"/>
        <w:widowControl w:val="0"/>
        <w:kinsoku/>
        <w:wordWrap/>
        <w:overflowPunct/>
        <w:topLinePunct w:val="0"/>
        <w:autoSpaceDE/>
        <w:bidi w:val="0"/>
        <w:adjustRightInd w:val="0"/>
        <w:snapToGrid w:val="0"/>
        <w:spacing w:before="0" w:beforeAutospacing="0" w:after="0" w:afterAutospacing="0" w:line="560" w:lineRule="exact"/>
        <w:ind w:left="0" w:firstLine="640" w:firstLineChars="200"/>
        <w:textAlignment w:val="auto"/>
        <w:outlineLvl w:val="0"/>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rPr>
        <w:t>四、职业面向</w:t>
      </w:r>
      <w:r>
        <w:rPr>
          <w:rFonts w:hint="eastAsia" w:ascii="黑体" w:hAnsi="黑体" w:eastAsia="黑体" w:cs="黑体"/>
          <w:sz w:val="32"/>
          <w:szCs w:val="32"/>
          <w:highlight w:val="none"/>
          <w:lang w:val="en-US" w:eastAsia="zh-CN"/>
        </w:rPr>
        <w:t>及接续专业</w:t>
      </w:r>
      <w:bookmarkEnd w:id="4"/>
    </w:p>
    <w:p>
      <w:pPr>
        <w:keepNext w:val="0"/>
        <w:keepLines w:val="0"/>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美发与形象设计专业的就业前景非常广阔。这个行业随着社会的发展和人们对美的追求而日益增长，毕业生可以在美发店、形象设计室、婚纱摄影中心、广告影视媒体等单位工作，担任美发师、艺术化妆师、化妆师、色彩搭配师、形象设计师等职位。此外，随着人们对个性化形象设计需求的增加，毕业生还可以从事电视、影视剧组、广告公司、摄影公司等相关领域的专业工作，如人物形象设计师、化妆造型师、美容师、发型师、美甲师等</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该专业不仅市场需求大，而且行业前景好，是一个做的时间越长久，含金量越高的时尚行业。</w:t>
      </w:r>
    </w:p>
    <w:p>
      <w:pPr>
        <w:keepNext w:val="0"/>
        <w:keepLines w:val="0"/>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在专业人才培养中注重培养终身学习理念，让学生明确本专业毕业后继续学习渠道和接受更高层次教育的专业面向。</w:t>
      </w:r>
    </w:p>
    <w:p>
      <w:pPr>
        <w:keepNext w:val="0"/>
        <w:keepLines w:val="0"/>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专业入学伊始为中专部（定向高考），在第一学年学习相关专业基础知识，形成体系。在第二学年开始转入高考部，为后续的春季高考做准备。通过春季高考（艺术设计类），考入相应高中专科院校或高职本科院校。</w:t>
      </w:r>
    </w:p>
    <w:p>
      <w:pPr>
        <w:keepNext w:val="0"/>
        <w:keepLines w:val="0"/>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接续高职专科专业：</w:t>
      </w:r>
      <w:r>
        <w:rPr>
          <w:rFonts w:hint="eastAsia" w:ascii="仿宋_GB2312" w:hAnsi="仿宋_GB2312" w:eastAsia="仿宋_GB2312" w:cs="仿宋_GB2312"/>
          <w:sz w:val="32"/>
          <w:szCs w:val="32"/>
          <w:highlight w:val="none"/>
          <w:lang w:val="en-US" w:eastAsia="zh-CN"/>
        </w:rPr>
        <w:t>人物形象设计、美容美体、</w:t>
      </w:r>
      <w:r>
        <w:rPr>
          <w:rFonts w:hint="eastAsia" w:ascii="仿宋_GB2312" w:hAnsi="仿宋_GB2312" w:eastAsia="仿宋_GB2312" w:cs="仿宋_GB2312"/>
          <w:sz w:val="32"/>
          <w:szCs w:val="32"/>
          <w:highlight w:val="none"/>
        </w:rPr>
        <w:t>视觉传达设计、数字</w:t>
      </w:r>
      <w:r>
        <w:rPr>
          <w:rFonts w:hint="eastAsia" w:ascii="仿宋_GB2312" w:hAnsi="仿宋_GB2312" w:eastAsia="仿宋_GB2312" w:cs="仿宋_GB2312"/>
          <w:sz w:val="32"/>
          <w:szCs w:val="32"/>
          <w:highlight w:val="none"/>
          <w:lang w:val="en-US" w:eastAsia="zh-CN"/>
        </w:rPr>
        <w:t>媒体艺术、艺术设计、</w:t>
      </w:r>
      <w:r>
        <w:rPr>
          <w:rFonts w:hint="eastAsia" w:ascii="仿宋_GB2312" w:hAnsi="仿宋_GB2312" w:eastAsia="仿宋_GB2312" w:cs="仿宋_GB2312"/>
          <w:sz w:val="32"/>
          <w:szCs w:val="32"/>
          <w:lang w:val="en-US" w:eastAsia="zh-CN"/>
        </w:rPr>
        <w:t>动漫制作等</w:t>
      </w:r>
      <w:r>
        <w:rPr>
          <w:rFonts w:hint="eastAsia" w:ascii="仿宋_GB2312" w:hAnsi="仿宋_GB2312" w:eastAsia="仿宋_GB2312" w:cs="仿宋_GB2312"/>
          <w:sz w:val="32"/>
          <w:szCs w:val="32"/>
        </w:rPr>
        <w:t>。</w:t>
      </w:r>
    </w:p>
    <w:p>
      <w:pPr>
        <w:pStyle w:val="10"/>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接续高职本科专业：视觉传达设计、影视摄影与制作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艺术设计等</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sz w:val="32"/>
          <w:szCs w:val="32"/>
          <w:lang w:val="en-US" w:eastAsia="zh-CN"/>
        </w:rPr>
      </w:pPr>
      <w:bookmarkStart w:id="5" w:name="_Toc3586"/>
      <w:r>
        <w:rPr>
          <w:rFonts w:hint="eastAsia" w:ascii="黑体" w:hAnsi="黑体" w:eastAsia="黑体" w:cs="黑体"/>
          <w:sz w:val="32"/>
          <w:szCs w:val="32"/>
          <w:lang w:val="en-US" w:eastAsia="zh-CN"/>
        </w:rPr>
        <w:t>五</w:t>
      </w:r>
      <w:r>
        <w:rPr>
          <w:rFonts w:hint="eastAsia" w:ascii="黑体" w:hAnsi="黑体" w:eastAsia="黑体" w:cs="黑体"/>
          <w:sz w:val="32"/>
          <w:szCs w:val="32"/>
        </w:rPr>
        <w:t>、培养目标与</w:t>
      </w:r>
      <w:r>
        <w:rPr>
          <w:rFonts w:hint="eastAsia" w:ascii="黑体" w:hAnsi="黑体" w:eastAsia="黑体" w:cs="黑体"/>
          <w:sz w:val="32"/>
          <w:szCs w:val="32"/>
          <w:lang w:val="en-US" w:eastAsia="zh-CN"/>
        </w:rPr>
        <w:t>培养规格</w:t>
      </w:r>
      <w:bookmarkEnd w:id="5"/>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1"/>
        <w:rPr>
          <w:rFonts w:hint="eastAsia" w:ascii="楷体_GB2312" w:hAnsi="楷体_GB2312" w:eastAsia="楷体_GB2312" w:cs="楷体_GB2312"/>
          <w:sz w:val="32"/>
          <w:szCs w:val="32"/>
        </w:rPr>
      </w:pPr>
      <w:bookmarkStart w:id="6" w:name="_Toc22195"/>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培养目标</w:t>
      </w:r>
      <w:bookmarkEnd w:id="6"/>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培养适应社会主义现代化建设需要，以立德树人为根本，践行社会主义核心价值观，理想信念坚定，德技并修、德智体美劳全面发展，具有一定的科学文化水平，良好的人文素养、职业道德和创新意识，精益求精的工匠精神，爱岗敬业的劳动态度，较高的信息素养，较强的就业能力和可持续发展能力；具有较高设计基础、发型设计、艺术造型等基础知识和基本技能，具备从事形象设计等人物造型专业综合职业能力的高素质、高技能专门人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hAnsi="楷体_GB2312" w:eastAsia="楷体_GB2312" w:cs="楷体_GB2312"/>
          <w:kern w:val="2"/>
          <w:sz w:val="32"/>
          <w:szCs w:val="32"/>
          <w:lang w:val="en-US" w:eastAsia="zh-CN" w:bidi="ar-SA"/>
        </w:rPr>
      </w:pPr>
      <w:bookmarkStart w:id="7" w:name="_Toc14143"/>
      <w:r>
        <w:rPr>
          <w:rFonts w:hint="eastAsia" w:ascii="楷体_GB2312" w:hAnsi="楷体_GB2312" w:eastAsia="楷体_GB2312" w:cs="楷体_GB2312"/>
          <w:sz w:val="32"/>
          <w:szCs w:val="32"/>
        </w:rPr>
        <w:t>（二）培养规格</w:t>
      </w:r>
      <w:bookmarkEnd w:id="7"/>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1.素质要求</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正确的世界观、人生观和价值观。坚定拥护中国共产党领导和中国特色社会主义制度，在习近平新时代中国特色社会主义思想指引下，树立社会主义共同理想，践行社会主义核心价值观，具有深厚的爱国情感、国家认同感和中华民族自豪感。</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（2）崇尚宪法、遵法守纪、崇德向善、诚实守信、尊重生命、热爱劳动，履行道德准则和法律规范，具有社会责任感和社会参与意识。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（3）具有良好的职业道德和职业素养。崇德向善、诚实守信、爱岗敬业、具有精益求精德工匠精神；尊重劳动、热爱劳动、具有较强德实践能力。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（4）具有较强的人际交往能力，沟通协调能力，团队合作精神、创新和服务意识。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（5）具有质量意识、绿色环保意识、安全意识、信息素养、创新精神，文明生产意识，严格遵守操作规程。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（6）具有良好的身心素质和人文素养，具有健康的体魄和心理、健全的人格，能够掌握基本运动技能，具有感受美、表现美、鉴赏美、创造美的能力。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（7）具有良好的生活习惯、行为习惯和自我管理能力，具有职业生涯规划意识和可持续发展能力。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2.知识要求</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（1）掌握中等职业学校学生必备的思想政治、语文、数学、英语、信息技术、艺术、体育与健康和中华优秀传统文化等知识。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（2）熟悉与本专业相关的法律法规以及环境保护、安全消防和安全防护等知识。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（3）掌握计算机主流操作系统、网络、常用办公及工具软件的基本应用方法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（4）理解并掌握素描和色彩的基础知识，掌握三大构成的基础知识</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（5）掌握</w:t>
      </w:r>
      <w:r>
        <w:rPr>
          <w:rFonts w:hint="eastAsia" w:ascii="仿宋_GB2312" w:hAnsi="仿宋_GB2312" w:eastAsia="仿宋_GB2312" w:cs="仿宋_GB2312"/>
          <w:sz w:val="32"/>
          <w:szCs w:val="32"/>
          <w:lang w:val="en-US" w:eastAsia="zh-CN"/>
        </w:rPr>
        <w:t>形象</w:t>
      </w:r>
      <w:r>
        <w:rPr>
          <w:rFonts w:hint="eastAsia" w:ascii="仿宋_GB2312" w:hAnsi="仿宋_GB2312" w:eastAsia="仿宋_GB2312" w:cs="仿宋_GB2312"/>
          <w:sz w:val="32"/>
          <w:szCs w:val="32"/>
        </w:rPr>
        <w:t>设计中关于风格理念、创意表现、</w:t>
      </w:r>
      <w:r>
        <w:rPr>
          <w:rFonts w:hint="eastAsia" w:ascii="仿宋_GB2312" w:hAnsi="仿宋_GB2312" w:eastAsia="仿宋_GB2312" w:cs="仿宋_GB2312"/>
          <w:sz w:val="32"/>
          <w:szCs w:val="32"/>
          <w:lang w:val="en-US" w:eastAsia="zh-CN"/>
        </w:rPr>
        <w:t>时代</w:t>
      </w:r>
      <w:r>
        <w:rPr>
          <w:rFonts w:hint="eastAsia" w:ascii="仿宋_GB2312" w:hAnsi="仿宋_GB2312" w:eastAsia="仿宋_GB2312" w:cs="仿宋_GB2312"/>
          <w:sz w:val="32"/>
          <w:szCs w:val="32"/>
        </w:rPr>
        <w:t>设定、</w:t>
      </w:r>
      <w:r>
        <w:rPr>
          <w:rFonts w:hint="eastAsia" w:ascii="仿宋_GB2312" w:hAnsi="仿宋_GB2312" w:eastAsia="仿宋_GB2312" w:cs="仿宋_GB2312"/>
          <w:sz w:val="32"/>
          <w:szCs w:val="32"/>
          <w:lang w:val="en-US" w:eastAsia="zh-CN"/>
        </w:rPr>
        <w:t>整体搭配</w:t>
      </w:r>
      <w:r>
        <w:rPr>
          <w:rFonts w:hint="eastAsia" w:ascii="仿宋_GB2312" w:hAnsi="仿宋_GB2312" w:eastAsia="仿宋_GB2312" w:cs="仿宋_GB2312"/>
          <w:sz w:val="32"/>
          <w:szCs w:val="32"/>
        </w:rPr>
        <w:t>、色彩运用等方面的理论知识以及设计技巧和方法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（6)掌握使用计算机处理图形图像与制作的方法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（7）掌握</w:t>
      </w:r>
      <w:r>
        <w:rPr>
          <w:rFonts w:hint="eastAsia" w:ascii="仿宋_GB2312" w:hAnsi="仿宋_GB2312" w:eastAsia="仿宋_GB2312" w:cs="仿宋_GB2312"/>
          <w:sz w:val="32"/>
          <w:szCs w:val="32"/>
          <w:lang w:val="en-US" w:eastAsia="zh-CN"/>
        </w:rPr>
        <w:t>形象设计相关</w:t>
      </w:r>
      <w:r>
        <w:rPr>
          <w:rFonts w:hint="eastAsia" w:ascii="仿宋_GB2312" w:hAnsi="仿宋_GB2312" w:eastAsia="仿宋_GB2312" w:cs="仿宋_GB2312"/>
          <w:sz w:val="32"/>
          <w:szCs w:val="32"/>
        </w:rPr>
        <w:t>操作技能，能</w:t>
      </w:r>
      <w:r>
        <w:rPr>
          <w:rFonts w:hint="eastAsia" w:ascii="仿宋_GB2312" w:hAnsi="仿宋_GB2312" w:eastAsia="仿宋_GB2312" w:cs="仿宋_GB2312"/>
          <w:sz w:val="32"/>
          <w:szCs w:val="32"/>
          <w:lang w:val="en-US" w:eastAsia="zh-CN"/>
        </w:rPr>
        <w:t>独立进行人物造型、创意造型、主题搭配、美容美体、美甲</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基础操作</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3.能力要求</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（1）具备合作探究、终身学习、分析和解决问题能力。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（2）具备良好的语言文字表达能力和沟通能力。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（3）具备本专业必需的信息技术应用和维护能力。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rPr>
        <w:t>（4）具备绘制</w:t>
      </w:r>
      <w:r>
        <w:rPr>
          <w:rFonts w:hint="eastAsia" w:ascii="仿宋_GB2312" w:hAnsi="仿宋_GB2312" w:eastAsia="仿宋_GB2312" w:cs="仿宋_GB2312"/>
          <w:sz w:val="32"/>
          <w:szCs w:val="32"/>
          <w:highlight w:val="none"/>
          <w:lang w:val="en-US" w:eastAsia="zh-CN"/>
        </w:rPr>
        <w:t>设计草图（彩脸等）</w:t>
      </w:r>
      <w:r>
        <w:rPr>
          <w:rFonts w:hint="eastAsia" w:ascii="仿宋_GB2312" w:hAnsi="仿宋_GB2312" w:eastAsia="仿宋_GB2312" w:cs="仿宋_GB2312"/>
          <w:sz w:val="32"/>
          <w:szCs w:val="32"/>
          <w:highlight w:val="none"/>
        </w:rPr>
        <w:t>表</w:t>
      </w:r>
      <w:r>
        <w:rPr>
          <w:rFonts w:hint="eastAsia" w:ascii="仿宋_GB2312" w:hAnsi="仿宋_GB2312" w:eastAsia="仿宋_GB2312" w:cs="仿宋_GB2312"/>
          <w:sz w:val="32"/>
          <w:szCs w:val="32"/>
        </w:rPr>
        <w:t>达设计思想的能力</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（5）具备数码照片艺术处理的能力</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（7）具有终身学习和可持续发展的能力。</w:t>
      </w:r>
    </w:p>
    <w:p>
      <w:pPr>
        <w:keepNext w:val="0"/>
        <w:keepLines w:val="0"/>
        <w:pageBreakBefore w:val="0"/>
        <w:widowControl w:val="0"/>
        <w:kinsoku/>
        <w:wordWrap/>
        <w:overflowPunct/>
        <w:topLinePunct w:val="0"/>
        <w:autoSpaceDE/>
        <w:bidi w:val="0"/>
        <w:adjustRightInd w:val="0"/>
        <w:snapToGrid w:val="0"/>
        <w:spacing w:line="560" w:lineRule="exact"/>
        <w:ind w:firstLine="640" w:firstLineChars="200"/>
        <w:textAlignment w:val="auto"/>
        <w:outlineLvl w:val="0"/>
        <w:rPr>
          <w:rFonts w:ascii="黑体" w:hAnsi="黑体" w:eastAsia="黑体" w:cs="黑体"/>
          <w:kern w:val="0"/>
          <w:sz w:val="32"/>
          <w:szCs w:val="32"/>
        </w:rPr>
      </w:pPr>
      <w:bookmarkStart w:id="8" w:name="_Toc21999"/>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rPr>
        <w:t>课程设置及要求</w:t>
      </w:r>
      <w:bookmarkEnd w:id="8"/>
    </w:p>
    <w:p>
      <w:pPr>
        <w:keepNext w:val="0"/>
        <w:keepLines w:val="0"/>
        <w:pageBreakBefore w:val="0"/>
        <w:widowControl w:val="0"/>
        <w:kinsoku/>
        <w:wordWrap/>
        <w:overflowPunct/>
        <w:topLinePunct w:val="0"/>
        <w:autoSpaceDE/>
        <w:autoSpaceDN w:val="0"/>
        <w:bidi w:val="0"/>
        <w:adjustRightInd w:val="0"/>
        <w:snapToGrid w:val="0"/>
        <w:spacing w:line="560"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主要包括公共基础课程和专业（技能）课程两类。公</w:t>
      </w:r>
      <w:r>
        <w:rPr>
          <w:rFonts w:hint="eastAsia" w:ascii="仿宋_GB2312" w:hAnsi="仿宋_GB2312" w:eastAsia="仿宋_GB2312" w:cs="仿宋_GB2312"/>
          <w:spacing w:val="-6"/>
          <w:sz w:val="32"/>
          <w:szCs w:val="32"/>
        </w:rPr>
        <w:t>共基础</w:t>
      </w:r>
      <w:r>
        <w:rPr>
          <w:rFonts w:hint="eastAsia" w:ascii="仿宋_GB2312" w:hAnsi="仿宋_GB2312" w:eastAsia="仿宋_GB2312" w:cs="仿宋_GB2312"/>
          <w:sz w:val="32"/>
          <w:szCs w:val="32"/>
        </w:rPr>
        <w:t>课程包括</w:t>
      </w:r>
      <w:r>
        <w:rPr>
          <w:rFonts w:hint="eastAsia" w:ascii="仿宋_GB2312" w:hAnsi="仿宋_GB2312" w:eastAsia="仿宋_GB2312" w:cs="仿宋_GB2312"/>
          <w:spacing w:val="-6"/>
          <w:sz w:val="32"/>
          <w:szCs w:val="32"/>
        </w:rPr>
        <w:t>必修</w:t>
      </w:r>
      <w:r>
        <w:rPr>
          <w:rFonts w:hint="eastAsia" w:ascii="仿宋_GB2312" w:hAnsi="仿宋_GB2312" w:eastAsia="仿宋_GB2312" w:cs="仿宋_GB2312"/>
          <w:sz w:val="32"/>
          <w:szCs w:val="32"/>
        </w:rPr>
        <w:t>课</w:t>
      </w:r>
      <w:r>
        <w:rPr>
          <w:rFonts w:hint="eastAsia" w:ascii="仿宋_GB2312" w:hAnsi="仿宋_GB2312" w:eastAsia="仿宋_GB2312" w:cs="仿宋_GB2312"/>
          <w:spacing w:val="-6"/>
          <w:sz w:val="32"/>
          <w:szCs w:val="32"/>
        </w:rPr>
        <w:t>和限定选修课、任意选修课</w:t>
      </w:r>
      <w:r>
        <w:rPr>
          <w:rFonts w:hint="eastAsia" w:ascii="仿宋_GB2312" w:hAnsi="仿宋_GB2312" w:eastAsia="仿宋_GB2312" w:cs="仿宋_GB2312"/>
          <w:sz w:val="32"/>
          <w:szCs w:val="32"/>
        </w:rPr>
        <w:t>；专业（技能）课程包括专业基础课、专业核心课、专业拓展课和实习实训等。</w:t>
      </w:r>
    </w:p>
    <w:p>
      <w:pPr>
        <w:keepNext w:val="0"/>
        <w:keepLines w:val="0"/>
        <w:pageBreakBefore w:val="0"/>
        <w:widowControl w:val="0"/>
        <w:kinsoku/>
        <w:wordWrap/>
        <w:overflowPunct/>
        <w:topLinePunct w:val="0"/>
        <w:autoSpaceDE/>
        <w:bidi w:val="0"/>
        <w:adjustRightInd w:val="0"/>
        <w:snapToGrid w:val="0"/>
        <w:spacing w:line="560" w:lineRule="exact"/>
        <w:ind w:firstLine="640" w:firstLineChars="200"/>
        <w:textAlignment w:val="auto"/>
        <w:outlineLvl w:val="1"/>
        <w:rPr>
          <w:rFonts w:hint="eastAsia" w:ascii="楷体_GB2312" w:hAnsi="楷体_GB2312" w:eastAsia="楷体_GB2312" w:cs="楷体_GB2312"/>
          <w:sz w:val="32"/>
          <w:szCs w:val="32"/>
        </w:rPr>
      </w:pPr>
      <w:bookmarkStart w:id="9" w:name="_Toc10321"/>
      <w:r>
        <w:rPr>
          <w:rFonts w:hint="eastAsia" w:ascii="楷体_GB2312" w:hAnsi="楷体_GB2312" w:eastAsia="楷体_GB2312" w:cs="楷体_GB2312"/>
          <w:sz w:val="32"/>
          <w:szCs w:val="32"/>
        </w:rPr>
        <w:t>（一）公共基础课程</w:t>
      </w:r>
      <w:bookmarkEnd w:id="9"/>
    </w:p>
    <w:p>
      <w:pPr>
        <w:keepNext w:val="0"/>
        <w:keepLines w:val="0"/>
        <w:pageBreakBefore w:val="0"/>
        <w:widowControl w:val="0"/>
        <w:kinsoku/>
        <w:wordWrap/>
        <w:overflowPunct/>
        <w:topLinePunct w:val="0"/>
        <w:autoSpaceDE/>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等职业学校公共基础课程方案》的规定，将中国特色社会主义、心理健康与职业生涯、哲学与人生、职业道德与法治、语文、历史、数学、英语、信息技术、体育与健康、艺术、劳动教育等列为公共基础必修课程，将物理列为部分专业必修课程，将中华优秀传统文化教育、安全教育、语文（职业模块）、数学（拓展模块）等列为限定选修课。</w:t>
      </w:r>
    </w:p>
    <w:p>
      <w:pPr>
        <w:adjustRightInd w:val="0"/>
        <w:snapToGrid w:val="0"/>
        <w:spacing w:line="520" w:lineRule="exact"/>
        <w:ind w:firstLine="640" w:firstLineChars="200"/>
        <w:rPr>
          <w:rFonts w:hint="eastAsia" w:ascii="仿宋_GB2312" w:hAnsi="仿宋_GB2312" w:eastAsia="仿宋_GB2312" w:cs="仿宋_GB2312"/>
          <w:sz w:val="32"/>
          <w:szCs w:val="32"/>
        </w:rPr>
      </w:pPr>
    </w:p>
    <w:tbl>
      <w:tblPr>
        <w:tblStyle w:val="12"/>
        <w:tblW w:w="10065" w:type="dxa"/>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1395"/>
        <w:gridCol w:w="685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90"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395"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6855" w:type="dxa"/>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1125" w:type="dxa"/>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0" w:hRule="atLeast"/>
        </w:trPr>
        <w:tc>
          <w:tcPr>
            <w:tcW w:w="690" w:type="dxa"/>
            <w:vAlign w:val="center"/>
          </w:tcPr>
          <w:p>
            <w:pPr>
              <w:pStyle w:val="5"/>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395" w:type="dxa"/>
            <w:vAlign w:val="center"/>
          </w:tcPr>
          <w:p>
            <w:pPr>
              <w:pStyle w:val="5"/>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中国特色</w:t>
            </w:r>
          </w:p>
          <w:p>
            <w:pPr>
              <w:pStyle w:val="5"/>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社会主义</w:t>
            </w:r>
          </w:p>
        </w:tc>
        <w:tc>
          <w:tcPr>
            <w:tcW w:w="6855" w:type="dxa"/>
            <w:vAlign w:val="center"/>
          </w:tcPr>
          <w:p>
            <w:pPr>
              <w:spacing w:line="40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本课程主要阐述了中国特色社会主义的开创与发展，明确中国特色社会主义进入新时代的历史方位，阐明中国特色社会主义建设“五位一体”总体布局的基本内容，通过学习，引导学生要结合社会实践和自身实际，树立对马克思主义的信仰、对中国特色社会主义的信念，对中华民族伟大复兴中国梦的信心，坚定中国特色主义道路自信、理论自信、制度自信、文化自信，把爱国情、强国志、报国行自觉融入坚持和发展中国特色社会主义事业、建设社会主义现代化强国，实现中华民族伟大复兴的奋斗之中。</w:t>
            </w:r>
          </w:p>
        </w:tc>
        <w:tc>
          <w:tcPr>
            <w:tcW w:w="1125" w:type="dxa"/>
            <w:vAlign w:val="center"/>
          </w:tcPr>
          <w:p>
            <w:pPr>
              <w:autoSpaceDE w:val="0"/>
              <w:autoSpaceDN w:val="0"/>
              <w:adjustRightInd w:val="0"/>
              <w:snapToGrid w:val="0"/>
              <w:spacing w:line="4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0" w:hRule="atLeast"/>
        </w:trPr>
        <w:tc>
          <w:tcPr>
            <w:tcW w:w="690" w:type="dxa"/>
            <w:vAlign w:val="center"/>
          </w:tcPr>
          <w:p>
            <w:pPr>
              <w:pStyle w:val="5"/>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395" w:type="dxa"/>
            <w:vAlign w:val="center"/>
          </w:tcPr>
          <w:p>
            <w:pPr>
              <w:pStyle w:val="5"/>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心理健康与</w:t>
            </w:r>
          </w:p>
          <w:p>
            <w:pPr>
              <w:pStyle w:val="5"/>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职业生涯</w:t>
            </w:r>
          </w:p>
        </w:tc>
        <w:tc>
          <w:tcPr>
            <w:tcW w:w="6855" w:type="dxa"/>
            <w:vAlign w:val="center"/>
          </w:tcPr>
          <w:p>
            <w:pPr>
              <w:pStyle w:val="5"/>
              <w:adjustRightInd w:val="0"/>
              <w:snapToGri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本课程主要阐述了职业生涯发展环境和职业规划，正确认识自我、正确认识职业理想和现实的关系，了解个体生理与心理特点差异，情绪的基本特征和成因，职业群及演变趋势、立足专业，谋划发展等。通过学习，引导学生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定和执行职业生涯规划的方法，提升职业素养，为顺利就业创业创造条件。</w:t>
            </w:r>
          </w:p>
        </w:tc>
        <w:tc>
          <w:tcPr>
            <w:tcW w:w="1125" w:type="dxa"/>
            <w:vAlign w:val="center"/>
          </w:tcPr>
          <w:p>
            <w:pPr>
              <w:pStyle w:val="5"/>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90" w:type="dxa"/>
            <w:vAlign w:val="center"/>
          </w:tcPr>
          <w:p>
            <w:pPr>
              <w:pStyle w:val="5"/>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395" w:type="dxa"/>
            <w:vAlign w:val="center"/>
          </w:tcPr>
          <w:p>
            <w:pPr>
              <w:pStyle w:val="5"/>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哲学与人生</w:t>
            </w:r>
          </w:p>
        </w:tc>
        <w:tc>
          <w:tcPr>
            <w:tcW w:w="6855" w:type="dxa"/>
            <w:vAlign w:val="center"/>
          </w:tcPr>
          <w:p>
            <w:pPr>
              <w:adjustRightInd w:val="0"/>
              <w:snapToGri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本课程主要阐述了马克思主义哲学是科学的世界观和方法论，讲述辩证唯物主义和历史唯物主义的基本观点及其对人生成长的意义。阐述社会生活及个人成长中进行正确的价值判断和行为选择的意义、社会主义核心价值观内涵等。通过本课程学习，学生能够了解马克思主义哲学的基本原理，运用辩证唯物主义和历史唯物主义的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1125" w:type="dxa"/>
            <w:vAlign w:val="center"/>
          </w:tcPr>
          <w:p>
            <w:pPr>
              <w:autoSpaceDE w:val="0"/>
              <w:autoSpaceDN w:val="0"/>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0" w:hRule="atLeast"/>
        </w:trPr>
        <w:tc>
          <w:tcPr>
            <w:tcW w:w="690" w:type="dxa"/>
            <w:vAlign w:val="center"/>
          </w:tcPr>
          <w:p>
            <w:pPr>
              <w:pStyle w:val="5"/>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395" w:type="dxa"/>
            <w:vAlign w:val="center"/>
          </w:tcPr>
          <w:p>
            <w:pPr>
              <w:pStyle w:val="5"/>
              <w:adjustRightInd w:val="0"/>
              <w:snapToGrid w:val="0"/>
              <w:spacing w:line="44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职业道德与</w:t>
            </w:r>
          </w:p>
          <w:p>
            <w:pPr>
              <w:pStyle w:val="5"/>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法治</w:t>
            </w:r>
          </w:p>
        </w:tc>
        <w:tc>
          <w:tcPr>
            <w:tcW w:w="6855" w:type="dxa"/>
            <w:vAlign w:val="center"/>
          </w:tcPr>
          <w:p>
            <w:pPr>
              <w:overflowPunct w:val="0"/>
              <w:adjustRightInd w:val="0"/>
              <w:snapToGri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课程主要阐述了公民基本道德、社会道德、职业道德、家庭道德等规范，感受道德力量，引导学生践行职业道德规范，提升职业道德境界，坚持全面依法治国，维护宪法权威，遵循法律法规。通过本课程学习，学生能够理解全面依法治国的总目标、了解我国新时代加强公民道德检核、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c>
          <w:tcPr>
            <w:tcW w:w="1125" w:type="dxa"/>
            <w:vAlign w:val="center"/>
          </w:tcPr>
          <w:p>
            <w:pPr>
              <w:autoSpaceDE w:val="0"/>
              <w:autoSpaceDN w:val="0"/>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0" w:hRule="atLeast"/>
        </w:trPr>
        <w:tc>
          <w:tcPr>
            <w:tcW w:w="690" w:type="dxa"/>
            <w:vAlign w:val="center"/>
          </w:tcPr>
          <w:p>
            <w:pPr>
              <w:pStyle w:val="5"/>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语文</w:t>
            </w:r>
          </w:p>
          <w:p>
            <w:pPr>
              <w:pStyle w:val="5"/>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widowControl/>
              <w:adjustRightIn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kern w:val="0"/>
                <w:szCs w:val="21"/>
                <w:lang w:val="zh-CN"/>
              </w:rPr>
              <w:t>按照教育部颁布的《中等职业学校语文课程标准》的要求开设。通过</w:t>
            </w:r>
            <w:r>
              <w:rPr>
                <w:rFonts w:hint="eastAsia" w:ascii="仿宋_GB2312" w:hAnsi="仿宋_GB2312" w:eastAsia="仿宋_GB2312" w:cs="仿宋_GB2312"/>
                <w:kern w:val="0"/>
                <w:szCs w:val="21"/>
              </w:rPr>
              <w:t>语感与语言习得、中外文学作品选读、实用性阅读与交流、古代诗文选读、中国革命传统作品选读、社会主义先进文化作品选读、整本书阅读与研讨、跨媒介阅读与交流等专题内容的学习，引导学生根据真实的语言运用情境，开展自主的言语实践活动，积累言语经验，把握祖国语言文字的特点和运用规律，提高运用祖国语言文字的能力，理解与热爱祖国语言文字，发展思维能力，提升思维品质，培养健康的审美情趣，积累丰厚的文化底蕴，传承和弘扬中华优秀文化，接受人类进步文化，形成良好的思想道德品质、科学素养和人文素养，为学生学好专业知识与技能，提高就业创业能力和终身发展能力，成为全面发展的高素质劳动者和技术技能人才奠定基础。</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5" w:hRule="atLeast"/>
        </w:trPr>
        <w:tc>
          <w:tcPr>
            <w:tcW w:w="690" w:type="dxa"/>
            <w:vAlign w:val="center"/>
          </w:tcPr>
          <w:p>
            <w:pPr>
              <w:pStyle w:val="5"/>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6</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数学</w:t>
            </w:r>
          </w:p>
          <w:p>
            <w:pPr>
              <w:pStyle w:val="5"/>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42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数学课程标准》的教学要求开设。落实数学学科核心素养与教学目标。通过学习函数、几何与代数、概率与统计等内容，使学生获得继续学习、未来工作和发展所必需的数学基础知识、基本技能、基本思想和基本活动经验，具备一定的从数学角度发现和提出问题的能力、运用数学知识和思想方法分析和解决问题的能力。教学中要注意知识衔接，激发学习兴趣，增强学习主动性和自信心，不断塑造科学精神和工匠精神，培养创新意识，促进学生德智体美劳全面发展。</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690" w:type="dxa"/>
            <w:vAlign w:val="center"/>
          </w:tcPr>
          <w:p>
            <w:pPr>
              <w:pStyle w:val="5"/>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7</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英语</w:t>
            </w:r>
          </w:p>
          <w:p>
            <w:pPr>
              <w:pStyle w:val="5"/>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widowControl/>
              <w:adjustRightInd w:val="0"/>
              <w:snapToGrid w:val="0"/>
              <w:spacing w:line="42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按照教育部颁布的《中等职业学校英语课程标准》的教学要求开设。</w:t>
            </w:r>
            <w:r>
              <w:rPr>
                <w:rFonts w:hint="eastAsia" w:ascii="仿宋_GB2312" w:hAnsi="仿宋_GB2312" w:eastAsia="仿宋_GB2312" w:cs="仿宋_GB2312"/>
                <w:kern w:val="0"/>
                <w:szCs w:val="21"/>
              </w:rPr>
              <w:t>。通过学习基础模块和职业模块中的主题、语篇类型、语言知识、文化知识、语言技能、语言策略等课程内容，培养学生的职场语言沟通、思维差异感知、跨文化理解及自主学习等英语学科核心素养，提高学生的语篇理解能力和有效沟通能力，引导学生感知多元文化背景下思维方式的多样性；增强国际理解，坚定文化自信，为学生的职业生涯、继续学习和终身发展奠定基础。</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690"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8</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信息技术</w:t>
            </w:r>
          </w:p>
          <w:p>
            <w:pPr>
              <w:autoSpaceDE w:val="0"/>
              <w:autoSpaceDN w:val="0"/>
              <w:adjustRightInd w:val="0"/>
              <w:snapToGrid w:val="0"/>
              <w:spacing w:line="400" w:lineRule="atLeas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8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按照教育部颁布的《中等职业学校信息技术课程标准》的教学要求开设</w:t>
            </w:r>
            <w:r>
              <w:rPr>
                <w:rFonts w:hint="eastAsia" w:ascii="仿宋_GB2312" w:hAnsi="仿宋_GB2312" w:eastAsia="仿宋_GB2312" w:cs="仿宋_GB2312"/>
                <w:kern w:val="0"/>
                <w:szCs w:val="21"/>
              </w:rPr>
              <w:t>。</w:t>
            </w:r>
            <w:r>
              <w:rPr>
                <w:rFonts w:hint="eastAsia" w:ascii="仿宋_GB2312" w:hAnsi="仿宋_GB2312" w:eastAsia="仿宋_GB2312" w:cs="仿宋_GB2312"/>
                <w:szCs w:val="21"/>
              </w:rPr>
              <w:t>落实课程标准规定的核心素养与教学目标要求，对接信息技术的最新发展与应用，结合职业岗位要求和专业能力发展需要，重点培养支撑学生终身发展、适应时代要求的信息素养。引导学生通过多种形式的学习活动，在学习信息技术基础知识、基本技能的过程中，提升认知、合作与创新能力，培养适应职业发展需要的信息能力。</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5" w:hRule="atLeast"/>
        </w:trPr>
        <w:tc>
          <w:tcPr>
            <w:tcW w:w="690" w:type="dxa"/>
            <w:vAlign w:val="center"/>
          </w:tcPr>
          <w:p>
            <w:pPr>
              <w:pStyle w:val="5"/>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9</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历史</w:t>
            </w:r>
          </w:p>
          <w:p>
            <w:pPr>
              <w:pStyle w:val="5"/>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8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kern w:val="0"/>
                <w:szCs w:val="21"/>
              </w:rPr>
              <w:t>按照教育部颁布的《中等职业学校历史课程标准》的教学要求开设。落实课程标准规定的核心素养与教学目标要求，促进学生进一步了解人类社会形态的基本脉络、基本规律和优秀文化成果；从历史的角度了解和思考人与人、人与社会、人与自然的关系，增强历史使命感和社会责任感；培育和践行社会主义核心价值观，进一步弘扬以爱国主义为核心的民族精神和以改革创新为核心的时代精神；培养健全的人格和职业精神，树立正确的历史观和价值观，形成历史学科核心素养。</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690" w:type="dxa"/>
            <w:vAlign w:val="center"/>
          </w:tcPr>
          <w:p>
            <w:pPr>
              <w:pStyle w:val="5"/>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体育与健康</w:t>
            </w:r>
          </w:p>
          <w:p>
            <w:pPr>
              <w:pStyle w:val="5"/>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8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kern w:val="0"/>
                <w:szCs w:val="21"/>
              </w:rPr>
              <w:t>按照教育部颁布的《中等职业学校体育与健康课程标准》的教学要求开设。坚持落实立德树人的根本任务，以体育人，增强体质，健全人格、锤炼意志。通过学习体育健康知识、技能与方法，提高与未来职业相关的体能和运动技能水平，学会科学锻炼方法，树立健康观念，形成健康行为和生活方式，具备身心健康和职业生涯发展必备的学科核心素养。</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trPr>
        <w:tc>
          <w:tcPr>
            <w:tcW w:w="690" w:type="dxa"/>
            <w:vAlign w:val="center"/>
          </w:tcPr>
          <w:p>
            <w:pPr>
              <w:pStyle w:val="5"/>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11</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艺术</w:t>
            </w:r>
          </w:p>
          <w:p>
            <w:pPr>
              <w:pStyle w:val="5"/>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按照教育部颁布的《中等职业学校艺术课程标准》的教学要求开设</w:t>
            </w:r>
            <w:r>
              <w:rPr>
                <w:rFonts w:hint="eastAsia" w:ascii="仿宋_GB2312" w:hAnsi="仿宋_GB2312" w:eastAsia="仿宋_GB2312" w:cs="仿宋_GB2312"/>
                <w:kern w:val="0"/>
                <w:szCs w:val="21"/>
              </w:rPr>
              <w:t>。</w:t>
            </w:r>
            <w:r>
              <w:rPr>
                <w:rFonts w:hint="eastAsia" w:ascii="仿宋_GB2312" w:hAnsi="仿宋_GB2312" w:eastAsia="仿宋_GB2312" w:cs="仿宋_GB2312"/>
                <w:szCs w:val="21"/>
              </w:rPr>
              <w:t>落实课程标准规定的核心素养与教学目标要求，重点培养学生的艺术感知、审美判断、创意表达和文化理解。充分发挥艺术学科独特的育人功能，通过观赏、体验、联系、比较、讨论等形式的学习方法，进一步积累和掌握艺术的基础知识、基本技能和方法，培养学生感受美、鉴赏美、表现美、创造美的能力，帮助学生增进文化认同，坚定文化自信，成为德智体美劳全面发展的高素质劳动者和技术技能人才。</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5" w:hRule="atLeast"/>
        </w:trPr>
        <w:tc>
          <w:tcPr>
            <w:tcW w:w="690"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12</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劳动</w:t>
            </w:r>
            <w:r>
              <w:rPr>
                <w:rFonts w:hint="eastAsia" w:ascii="仿宋_GB2312" w:hAnsi="仿宋_GB2312" w:eastAsia="仿宋_GB2312" w:cs="仿宋_GB2312"/>
                <w:kern w:val="0"/>
                <w:szCs w:val="21"/>
              </w:rPr>
              <w:t>教育</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大中小学劳动教育指导纲要（试行）》的要求开设，是中职学校各专业必修课程。通过持续开展日常生活劳动，自我管理生活，提高劳动自立自强的意识和能力；通过定期开展校内外公益服务性劳动，做好校园环境秩序维护，运用专业技能为社会、为他人提供相关公益服务，培育社会公德，厚植爱国爱民的情怀；依托实习实训，参与真实的生产劳动和服务性劳动，增强职业认同感和劳动自豪感，培育精益求精的工匠精神和爱岗敬业的劳动态度。</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72</w:t>
            </w:r>
          </w:p>
        </w:tc>
      </w:tr>
    </w:tbl>
    <w:p>
      <w:pPr>
        <w:adjustRightInd w:val="0"/>
        <w:snapToGrid w:val="0"/>
        <w:jc w:val="center"/>
        <w:rPr>
          <w:rFonts w:ascii="黑体" w:hAnsi="黑体" w:eastAsia="黑体" w:cs="黑体"/>
          <w:sz w:val="28"/>
          <w:szCs w:val="28"/>
        </w:rPr>
      </w:pPr>
    </w:p>
    <w:tbl>
      <w:tblPr>
        <w:tblStyle w:val="12"/>
        <w:tblpPr w:leftFromText="180" w:rightFromText="180" w:vertAnchor="text" w:horzAnchor="page" w:tblpX="1210" w:tblpY="630"/>
        <w:tblOverlap w:val="never"/>
        <w:tblW w:w="10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395"/>
        <w:gridCol w:w="6870"/>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20" w:type="dxa"/>
            <w:vAlign w:val="center"/>
          </w:tcPr>
          <w:p>
            <w:pPr>
              <w:jc w:val="both"/>
              <w:rPr>
                <w:rFonts w:ascii="黑体" w:hAnsi="黑体" w:eastAsia="黑体" w:cs="黑体"/>
                <w:szCs w:val="21"/>
              </w:rPr>
            </w:pPr>
            <w:r>
              <w:rPr>
                <w:rFonts w:hint="eastAsia" w:ascii="黑体" w:hAnsi="黑体" w:eastAsia="黑体" w:cs="黑体"/>
                <w:szCs w:val="21"/>
              </w:rPr>
              <w:t>序号</w:t>
            </w:r>
          </w:p>
        </w:tc>
        <w:tc>
          <w:tcPr>
            <w:tcW w:w="1395"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6870" w:type="dxa"/>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1125" w:type="dxa"/>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5" w:hRule="atLeast"/>
        </w:trPr>
        <w:tc>
          <w:tcPr>
            <w:tcW w:w="720"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1395"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中职生传统文化</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是公共基础限定选修课。课程围绕落实“立德树人”的根本任务，通过发挥传统文化“文以化人”的作用，让学生了解节日习俗，学习传统技艺，品鉴文学经典，感受德育故事，继承和发扬优秀传统文化，培养职业精神，塑造优秀品格，传承传统技艺，涵养家国情怀，形成正确的世界观、人生观和价值观，坚定文化自信、振奋民族精神，切实增强民族文化认同感，增强文化传承的自觉性，从而具有健康的情趣追求、优雅的审美意识和厚实的人文精神。</w:t>
            </w:r>
          </w:p>
        </w:tc>
        <w:tc>
          <w:tcPr>
            <w:tcW w:w="1125" w:type="dxa"/>
            <w:vAlign w:val="center"/>
          </w:tcPr>
          <w:p>
            <w:pPr>
              <w:autoSpaceDE w:val="0"/>
              <w:autoSpaceDN w:val="0"/>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trPr>
        <w:tc>
          <w:tcPr>
            <w:tcW w:w="720"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395"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安全教育</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是公共基础限定选修课，课程主要覆盖国家安全、财产安全、网络安全、消防安全等；也包括“消防应急疏散演练”、“校园安全隐患排查”、“安全知识讲座”等实践项目。通过本课程教学，使学生掌握必要的安全知识和技能，使学生逐步形成安全保护能力，引导学生建立“珍爱生命、安全第一”的意识，具备基本的自救素养和能力。</w:t>
            </w:r>
          </w:p>
        </w:tc>
        <w:tc>
          <w:tcPr>
            <w:tcW w:w="1125"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trPr>
        <w:tc>
          <w:tcPr>
            <w:tcW w:w="720" w:type="dxa"/>
            <w:vAlign w:val="center"/>
          </w:tcPr>
          <w:p>
            <w:pPr>
              <w:pStyle w:val="5"/>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语文</w:t>
            </w:r>
          </w:p>
          <w:p>
            <w:pPr>
              <w:pStyle w:val="5"/>
              <w:spacing w:line="380" w:lineRule="exact"/>
              <w:rPr>
                <w:rFonts w:ascii="仿宋_GB2312" w:hAnsi="仿宋_GB2312" w:eastAsia="仿宋_GB2312" w:cs="仿宋_GB2312"/>
                <w:szCs w:val="21"/>
              </w:rPr>
            </w:pPr>
            <w:r>
              <w:rPr>
                <w:rFonts w:hint="eastAsia" w:ascii="仿宋_GB2312" w:hAnsi="仿宋_GB2312" w:eastAsia="仿宋_GB2312" w:cs="仿宋_GB2312"/>
                <w:kern w:val="0"/>
                <w:szCs w:val="21"/>
              </w:rPr>
              <w:t>（职业模块）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语文限定选修模块，是要通过劳动精神工匠精神作品研读、职场应用写作与交流、微写作合科普作品选读四个专题教学，引导学生领悟劳动光荣、技能宝贵、创造伟大的时代风尚，培育劳动精神、弘扬工匠精神和劳模精神，培养学生职场应用写作能力，洽谈和协商能力、求职和应聘能力，引导学生学习微写作和阅读科普作品，扩大视野，提高解决生活实际问题和培养科学态度。</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5" w:hRule="atLeast"/>
        </w:trPr>
        <w:tc>
          <w:tcPr>
            <w:tcW w:w="720" w:type="dxa"/>
            <w:vAlign w:val="center"/>
          </w:tcPr>
          <w:p>
            <w:pPr>
              <w:pStyle w:val="5"/>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数学</w:t>
            </w:r>
          </w:p>
          <w:p>
            <w:pPr>
              <w:pStyle w:val="5"/>
              <w:spacing w:line="380" w:lineRule="exact"/>
              <w:rPr>
                <w:rFonts w:ascii="仿宋_GB2312" w:hAnsi="仿宋_GB2312" w:eastAsia="仿宋_GB2312" w:cs="仿宋_GB2312"/>
                <w:szCs w:val="21"/>
              </w:rPr>
            </w:pPr>
            <w:r>
              <w:rPr>
                <w:rFonts w:hint="eastAsia" w:ascii="仿宋_GB2312" w:hAnsi="仿宋_GB2312" w:eastAsia="仿宋_GB2312" w:cs="仿宋_GB2312"/>
                <w:kern w:val="0"/>
                <w:szCs w:val="21"/>
              </w:rPr>
              <w:t>（拓展模块）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数学限定选修模块，分拓展模块一和拓展模块二，拓展一主要涵盖充要条件、函数（三角计算、数列）、几何与代数（平面向量、圆锥曲线、立体几何、复数）和概率与统计（排列组合、随机变量及其分布、统计）；拓展二涵盖数学文化专题、数学建模专题、数学工具专题等七个专题和数学与艺术、数学与体育、数学与军事等五个数学案例。通过学习帮助学生感悟数学在生活、政治、经济、科学等领域的广泛应用，提升学生运用数学知识解决实际问题的能力。</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2" w:hRule="atLeast"/>
        </w:trPr>
        <w:tc>
          <w:tcPr>
            <w:tcW w:w="720"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英语</w:t>
            </w:r>
          </w:p>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（职业模块）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英语限定选修模块，主要包涵求职应聘、职场礼仪、职场服务、设备操作、技术应用、职场安全、危机应对、职业规划等8个主题，通过教学，让学生在不同职业场景中了解西方语言用词、结构和篇章逻辑的不同，提高职场语言沟通能力，增强职业意识，促进其未来职业发展。</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2" w:hRule="atLeast"/>
        </w:trPr>
        <w:tc>
          <w:tcPr>
            <w:tcW w:w="720"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6</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体育与健康</w:t>
            </w:r>
          </w:p>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（拓展模块）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体育限定选修模块，主要包括球类运动、田径类运动、体操类运动、水上类运动、冰雪类运动、武术与民族民间传统体育类运动、新型体育类运动5个运动技能系列，通过学生选学某一运动项目，了解该项运动的历史文化介绍、基本知识和技能、技战术、比赛规则、引导学生增强体质、健全人格、锤炼意识，自觉遵守体育道德规范和行为准则，发扬体育精神，塑造良好的体育品质。</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90</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1"/>
        <w:rPr>
          <w:rFonts w:hint="eastAsia" w:ascii="楷体_GB2312" w:hAnsi="楷体_GB2312" w:eastAsia="楷体_GB2312" w:cs="楷体_GB2312"/>
          <w:sz w:val="32"/>
          <w:szCs w:val="32"/>
        </w:rPr>
      </w:pPr>
      <w:bookmarkStart w:id="10" w:name="_Toc6026"/>
      <w:r>
        <w:rPr>
          <w:rFonts w:hint="eastAsia" w:ascii="楷体_GB2312" w:hAnsi="楷体_GB2312" w:eastAsia="楷体_GB2312" w:cs="楷体_GB2312"/>
          <w:sz w:val="32"/>
          <w:szCs w:val="32"/>
        </w:rPr>
        <w:t>（二）专业（技能）课程</w:t>
      </w:r>
      <w:bookmarkEnd w:id="10"/>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专业（技能）课程包括专业基础课程、专业核心课程、专业拓展课程和实习实训等。</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1.专业基础课程</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主要包括素描、色彩基础、构成基础、图像处理、图案设计、办公软件应用等</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门课程，是</w:t>
      </w:r>
      <w:r>
        <w:rPr>
          <w:rFonts w:hint="eastAsia" w:ascii="仿宋_GB2312" w:hAnsi="仿宋_GB2312" w:eastAsia="仿宋_GB2312" w:cs="仿宋_GB2312"/>
          <w:sz w:val="32"/>
          <w:szCs w:val="32"/>
          <w:lang w:val="en-US" w:eastAsia="zh-CN"/>
        </w:rPr>
        <w:t>美发与形象设计</w:t>
      </w:r>
      <w:r>
        <w:rPr>
          <w:rFonts w:hint="eastAsia" w:ascii="仿宋_GB2312" w:hAnsi="仿宋_GB2312" w:eastAsia="仿宋_GB2312" w:cs="仿宋_GB2312"/>
          <w:sz w:val="32"/>
          <w:szCs w:val="32"/>
        </w:rPr>
        <w:t>专业学生必修的专业基础课程。</w:t>
      </w:r>
    </w:p>
    <w:tbl>
      <w:tblPr>
        <w:tblStyle w:val="11"/>
        <w:tblW w:w="5586" w:type="pct"/>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530"/>
        <w:gridCol w:w="6855"/>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8"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755" w:type="pct"/>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3385"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539" w:type="pct"/>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55" w:type="pct"/>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素描</w:t>
            </w:r>
          </w:p>
        </w:tc>
        <w:tc>
          <w:tcPr>
            <w:tcW w:w="3385" w:type="pct"/>
            <w:vAlign w:val="center"/>
          </w:tcPr>
          <w:p>
            <w:pPr>
              <w:adjustRightInd w:val="0"/>
              <w:snapToGrid w:val="0"/>
              <w:spacing w:line="36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(1) 进行美术基础绘画教学。教学中注重教授学生的造型能力以及审美能力，教给学生人物比例、结构、动态简便易行的画法规律，强调线的运用，培养学生造型设计的表现能力。</w:t>
            </w:r>
          </w:p>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(2) 着重进行设计基础理论、形式美原理、法则等方面教学。通过作业训练和作品分析，培养学生的设计意识。</w:t>
            </w:r>
          </w:p>
        </w:tc>
        <w:tc>
          <w:tcPr>
            <w:tcW w:w="539"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55" w:type="pct"/>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色彩基础</w:t>
            </w:r>
          </w:p>
        </w:tc>
        <w:tc>
          <w:tcPr>
            <w:tcW w:w="3385"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色彩知识绘画技巧，使学生了解色彩绘画的基本原理、基础知识和基本技法，掌握正确的观察方法和表现方法；学会运用色彩规律,使用色彩语言来表达自己的感受，能够培养学生对色彩敏锐的感受、感知能力。</w:t>
            </w:r>
          </w:p>
        </w:tc>
        <w:tc>
          <w:tcPr>
            <w:tcW w:w="539"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755" w:type="pct"/>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构成基础</w:t>
            </w:r>
          </w:p>
        </w:tc>
        <w:tc>
          <w:tcPr>
            <w:tcW w:w="3385"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平面构成绘画技巧，使学生掌握设计方法、设计语言，掌握平面构成的基本原理、要素、形式美的法则，学会运用二维形象表达自己的设计理念，培养学生的解读能力、创新能力；通过学习色彩构成绘画方面的知识，使学生了解色彩的基本原理与属性、色彩的心理感知与情感，掌握色彩的对比与调和等相关知识，能够独立运用色彩相关知识与原理进行艺术设计。</w:t>
            </w:r>
          </w:p>
        </w:tc>
        <w:tc>
          <w:tcPr>
            <w:tcW w:w="539"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755" w:type="pct"/>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图像处理</w:t>
            </w:r>
          </w:p>
        </w:tc>
        <w:tc>
          <w:tcPr>
            <w:tcW w:w="3385"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了解图像处理及相关的美学知识；熟悉不同类型图像处理业务的规范要求与表现手法；掌握应用设计主流软件进行</w:t>
            </w:r>
            <w:r>
              <w:rPr>
                <w:rFonts w:hint="eastAsia" w:ascii="仿宋_GB2312" w:hAnsi="仿宋_GB2312" w:eastAsia="仿宋_GB2312" w:cs="仿宋_GB2312"/>
                <w:szCs w:val="21"/>
                <w:lang w:val="en-US" w:eastAsia="zh-CN"/>
              </w:rPr>
              <w:t>平面造型后期</w:t>
            </w:r>
            <w:r>
              <w:rPr>
                <w:rFonts w:hint="eastAsia" w:ascii="仿宋_GB2312" w:hAnsi="仿宋_GB2312" w:eastAsia="仿宋_GB2312" w:cs="仿宋_GB2312"/>
                <w:szCs w:val="21"/>
              </w:rPr>
              <w:t>处理的相关技能；能使用相应软件进行</w:t>
            </w:r>
            <w:r>
              <w:rPr>
                <w:rFonts w:hint="eastAsia" w:ascii="仿宋_GB2312" w:hAnsi="仿宋_GB2312" w:eastAsia="仿宋_GB2312" w:cs="仿宋_GB2312"/>
                <w:szCs w:val="21"/>
                <w:lang w:val="en-US" w:eastAsia="zh-CN"/>
              </w:rPr>
              <w:t>妆面美化、色彩调整、细节精细等</w:t>
            </w:r>
            <w:r>
              <w:rPr>
                <w:rFonts w:hint="eastAsia" w:ascii="仿宋_GB2312" w:hAnsi="仿宋_GB2312" w:eastAsia="仿宋_GB2312" w:cs="仿宋_GB2312"/>
                <w:szCs w:val="21"/>
              </w:rPr>
              <w:t>图像处理；能综合运用所学知识完成</w:t>
            </w:r>
            <w:r>
              <w:rPr>
                <w:rFonts w:hint="eastAsia" w:ascii="仿宋_GB2312" w:hAnsi="仿宋_GB2312" w:eastAsia="仿宋_GB2312" w:cs="仿宋_GB2312"/>
                <w:szCs w:val="21"/>
                <w:lang w:val="en-US" w:eastAsia="zh-CN"/>
              </w:rPr>
              <w:t>平面造型相关后期处理事宜。</w:t>
            </w:r>
          </w:p>
        </w:tc>
        <w:tc>
          <w:tcPr>
            <w:tcW w:w="539"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755" w:type="pct"/>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公关礼仪</w:t>
            </w:r>
          </w:p>
        </w:tc>
        <w:tc>
          <w:tcPr>
            <w:tcW w:w="3385"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通过学习，通过教学，使学生了解服务过程中的顾客心理、消费心理，学会人际交往沟通技巧，认识礼仪在服务过程中的重要作用。</w:t>
            </w:r>
          </w:p>
        </w:tc>
        <w:tc>
          <w:tcPr>
            <w:tcW w:w="539" w:type="pct"/>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318" w:type="pct"/>
            <w:vAlign w:val="center"/>
          </w:tcPr>
          <w:p>
            <w:pPr>
              <w:adjustRightInd w:val="0"/>
              <w:snapToGrid w:val="0"/>
              <w:spacing w:line="40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6</w:t>
            </w:r>
          </w:p>
        </w:tc>
        <w:tc>
          <w:tcPr>
            <w:tcW w:w="755" w:type="pct"/>
            <w:vAlign w:val="center"/>
          </w:tcPr>
          <w:p>
            <w:pPr>
              <w:pStyle w:val="14"/>
              <w:spacing w:before="1" w:line="264" w:lineRule="exact"/>
              <w:ind w:right="101"/>
              <w:jc w:val="center"/>
              <w:rPr>
                <w:rFonts w:ascii="仿宋_GB2312" w:hAnsi="仿宋_GB2312" w:eastAsia="仿宋_GB2312" w:cs="仿宋_GB2312"/>
                <w:szCs w:val="21"/>
                <w:lang w:val="en-US" w:bidi="ar-SA"/>
              </w:rPr>
            </w:pPr>
            <w:r>
              <w:rPr>
                <w:rFonts w:hint="eastAsia" w:ascii="仿宋_GB2312" w:hAnsi="仿宋_GB2312" w:eastAsia="仿宋_GB2312" w:cs="仿宋_GB2312"/>
                <w:szCs w:val="21"/>
                <w:lang w:val="en-US" w:eastAsia="zh-CN" w:bidi="ar-SA"/>
              </w:rPr>
              <w:t>平面设计软件</w:t>
            </w:r>
            <w:r>
              <w:rPr>
                <w:rFonts w:hint="eastAsia" w:ascii="仿宋_GB2312" w:hAnsi="仿宋_GB2312" w:eastAsia="仿宋_GB2312" w:cs="仿宋_GB2312"/>
                <w:szCs w:val="21"/>
                <w:lang w:val="en-US" w:bidi="ar-SA"/>
              </w:rPr>
              <w:t>应用</w:t>
            </w:r>
          </w:p>
        </w:tc>
        <w:tc>
          <w:tcPr>
            <w:tcW w:w="3385" w:type="pct"/>
            <w:vAlign w:val="center"/>
          </w:tcPr>
          <w:p>
            <w:pPr>
              <w:spacing w:line="400" w:lineRule="exact"/>
              <w:rPr>
                <w:rFonts w:ascii="仿宋_GB2312" w:hAnsi="仿宋_GB2312" w:eastAsia="仿宋_GB2312" w:cs="仿宋_GB2312"/>
                <w:szCs w:val="21"/>
              </w:rPr>
            </w:pPr>
            <w:r>
              <w:rPr>
                <w:rFonts w:hint="eastAsia" w:ascii="仿宋_GB2312" w:hAnsi="仿宋_GB2312" w:eastAsia="仿宋_GB2312" w:cs="仿宋_GB2312"/>
                <w:szCs w:val="21"/>
              </w:rPr>
              <w:t>通过教学，使学生了解电脑美术设计的基本原理，掌握电脑设计的基本操作及各类专业软件的基本运用，为本专业造型设计的电脑制作打下基础。</w:t>
            </w:r>
          </w:p>
        </w:tc>
        <w:tc>
          <w:tcPr>
            <w:tcW w:w="539" w:type="pct"/>
            <w:vAlign w:val="center"/>
          </w:tcPr>
          <w:p>
            <w:pPr>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318" w:type="pct"/>
            <w:vAlign w:val="center"/>
          </w:tcPr>
          <w:p>
            <w:pPr>
              <w:adjustRightInd w:val="0"/>
              <w:snapToGrid w:val="0"/>
              <w:spacing w:line="40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w:t>
            </w:r>
          </w:p>
        </w:tc>
        <w:tc>
          <w:tcPr>
            <w:tcW w:w="755" w:type="pct"/>
            <w:vAlign w:val="center"/>
          </w:tcPr>
          <w:p>
            <w:pPr>
              <w:pStyle w:val="14"/>
              <w:spacing w:before="1" w:line="264" w:lineRule="exact"/>
              <w:ind w:right="101"/>
              <w:jc w:val="center"/>
              <w:rPr>
                <w:rFonts w:hint="eastAsia" w:ascii="仿宋_GB2312" w:hAnsi="仿宋_GB2312" w:eastAsia="仿宋_GB2312" w:cs="仿宋_GB2312"/>
                <w:szCs w:val="21"/>
                <w:lang w:val="en-US" w:bidi="ar-SA"/>
              </w:rPr>
            </w:pPr>
            <w:r>
              <w:rPr>
                <w:rFonts w:hint="eastAsia" w:ascii="仿宋_GB2312" w:hAnsi="仿宋_GB2312" w:eastAsia="仿宋_GB2312" w:cs="仿宋_GB2312"/>
                <w:szCs w:val="21"/>
                <w:lang w:val="en-US" w:bidi="ar-SA"/>
              </w:rPr>
              <w:t>美容美发企业管理基础</w:t>
            </w:r>
          </w:p>
        </w:tc>
        <w:tc>
          <w:tcPr>
            <w:tcW w:w="3385" w:type="pct"/>
            <w:vAlign w:val="center"/>
          </w:tcPr>
          <w:p>
            <w:pPr>
              <w:spacing w:line="400" w:lineRule="exact"/>
              <w:rPr>
                <w:rFonts w:hint="eastAsia" w:ascii="仿宋_GB2312" w:hAnsi="仿宋_GB2312" w:eastAsia="仿宋_GB2312" w:cs="仿宋_GB2312"/>
                <w:szCs w:val="21"/>
              </w:rPr>
            </w:pPr>
            <w:r>
              <w:rPr>
                <w:rFonts w:hint="eastAsia" w:ascii="仿宋_GB2312" w:hAnsi="仿宋_GB2312" w:eastAsia="仿宋_GB2312" w:cs="仿宋_GB2312"/>
                <w:szCs w:val="21"/>
              </w:rPr>
              <w:t>通过教学，使学生了解服务性企业的基本特征、地位、作用，了解美容美发企业的经营与管理，基本掌握市场调查、预测方法，基本掌握提高企业工作效益和经济效益的科学方法。</w:t>
            </w:r>
          </w:p>
        </w:tc>
        <w:tc>
          <w:tcPr>
            <w:tcW w:w="539" w:type="pct"/>
            <w:vAlign w:val="center"/>
          </w:tcPr>
          <w:p>
            <w:pPr>
              <w:spacing w:line="5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36</w:t>
            </w:r>
          </w:p>
        </w:tc>
      </w:tr>
    </w:tbl>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2.专业核心课程</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主要包括商业插画设计、广告设计与制作、字体与标志设计、包装设计与制作、书籍装帧设计、图形创意、影视后期等7门课程，是计算机平面设计专业学生学习专业技能和培养专业能力的必修课程。</w:t>
      </w:r>
    </w:p>
    <w:p>
      <w:pPr>
        <w:pStyle w:val="2"/>
        <w:adjustRightInd w:val="0"/>
        <w:snapToGrid w:val="0"/>
        <w:spacing w:line="520" w:lineRule="exact"/>
        <w:ind w:firstLine="640"/>
        <w:rPr>
          <w:rFonts w:hint="eastAsia" w:ascii="仿宋_GB2312" w:hAnsi="仿宋_GB2312" w:eastAsia="仿宋_GB2312" w:cs="仿宋_GB2312"/>
          <w:sz w:val="32"/>
          <w:szCs w:val="32"/>
        </w:rPr>
      </w:pPr>
    </w:p>
    <w:tbl>
      <w:tblPr>
        <w:tblStyle w:val="11"/>
        <w:tblW w:w="5577" w:type="pct"/>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529"/>
        <w:gridCol w:w="6854"/>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19"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756" w:type="pct"/>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3389"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533" w:type="pct"/>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530" w:type="dxa"/>
            <w:vAlign w:val="center"/>
          </w:tcPr>
          <w:p>
            <w:pPr>
              <w:adjustRightInd w:val="0"/>
              <w:snapToGrid w:val="0"/>
              <w:spacing w:line="36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美发与造型</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w:t>
            </w:r>
            <w:r>
              <w:rPr>
                <w:rFonts w:hint="eastAsia" w:ascii="仿宋_GB2312" w:hAnsi="仿宋_GB2312" w:eastAsia="仿宋_GB2312" w:cs="仿宋_GB2312"/>
                <w:szCs w:val="21"/>
                <w:lang w:val="en-US" w:eastAsia="zh-CN"/>
              </w:rPr>
              <w:t>相应盘发造型技巧，掌握不同人物角色、不同时代背景不同场景下对应的基础造型，使学生能够熟练掌握相应基础技巧和要领；学习吹风造型技巧，掌握男士、女士基本吹风造型要领</w:t>
            </w:r>
            <w:r>
              <w:rPr>
                <w:rFonts w:hint="eastAsia" w:ascii="仿宋_GB2312" w:hAnsi="仿宋_GB2312" w:eastAsia="仿宋_GB2312" w:cs="仿宋_GB2312"/>
                <w:szCs w:val="21"/>
              </w:rPr>
              <w:t>。</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530" w:type="dxa"/>
            <w:vAlign w:val="center"/>
          </w:tcPr>
          <w:p>
            <w:pPr>
              <w:adjustRightInd w:val="0"/>
              <w:snapToGrid w:val="0"/>
              <w:spacing w:line="36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基础化妆</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了解不同</w:t>
            </w:r>
            <w:r>
              <w:rPr>
                <w:rFonts w:hint="eastAsia" w:ascii="仿宋_GB2312" w:hAnsi="仿宋_GB2312" w:eastAsia="仿宋_GB2312" w:cs="仿宋_GB2312"/>
                <w:szCs w:val="21"/>
                <w:lang w:val="en-US" w:eastAsia="zh-CN"/>
              </w:rPr>
              <w:t>日常基础造型、舞台基础造型</w:t>
            </w:r>
            <w:r>
              <w:rPr>
                <w:rFonts w:hint="eastAsia" w:ascii="仿宋_GB2312" w:hAnsi="仿宋_GB2312" w:eastAsia="仿宋_GB2312" w:cs="仿宋_GB2312"/>
                <w:szCs w:val="21"/>
              </w:rPr>
              <w:t>特点</w:t>
            </w:r>
            <w:r>
              <w:rPr>
                <w:rFonts w:hint="eastAsia" w:ascii="仿宋_GB2312" w:hAnsi="仿宋_GB2312" w:eastAsia="仿宋_GB2312" w:cs="仿宋_GB2312"/>
                <w:szCs w:val="21"/>
                <w:lang w:val="en-US" w:eastAsia="zh-CN"/>
              </w:rPr>
              <w:t>及创作方法</w:t>
            </w:r>
            <w:r>
              <w:rPr>
                <w:rFonts w:hint="eastAsia" w:ascii="仿宋_GB2312" w:hAnsi="仿宋_GB2312" w:eastAsia="仿宋_GB2312" w:cs="仿宋_GB2312"/>
                <w:szCs w:val="21"/>
              </w:rPr>
              <w:t>；熟悉</w:t>
            </w:r>
            <w:r>
              <w:rPr>
                <w:rFonts w:hint="eastAsia" w:ascii="仿宋_GB2312" w:hAnsi="仿宋_GB2312" w:eastAsia="仿宋_GB2312" w:cs="仿宋_GB2312"/>
                <w:szCs w:val="21"/>
                <w:lang w:val="en-US" w:eastAsia="zh-CN"/>
              </w:rPr>
              <w:t>不同造型的创作</w:t>
            </w:r>
            <w:r>
              <w:rPr>
                <w:rFonts w:hint="eastAsia" w:ascii="仿宋_GB2312" w:hAnsi="仿宋_GB2312" w:eastAsia="仿宋_GB2312" w:cs="仿宋_GB2312"/>
                <w:szCs w:val="21"/>
              </w:rPr>
              <w:t>方式、</w:t>
            </w:r>
            <w:r>
              <w:rPr>
                <w:rFonts w:hint="eastAsia" w:ascii="仿宋_GB2312" w:hAnsi="仿宋_GB2312" w:eastAsia="仿宋_GB2312" w:cs="仿宋_GB2312"/>
                <w:szCs w:val="21"/>
                <w:lang w:val="en-US" w:eastAsia="zh-CN"/>
              </w:rPr>
              <w:t>创</w:t>
            </w:r>
            <w:r>
              <w:rPr>
                <w:rFonts w:hint="eastAsia" w:ascii="仿宋_GB2312" w:hAnsi="仿宋_GB2312" w:eastAsia="仿宋_GB2312" w:cs="仿宋_GB2312"/>
                <w:szCs w:val="21"/>
              </w:rPr>
              <w:t>作与实施；掌握</w:t>
            </w:r>
            <w:r>
              <w:rPr>
                <w:rFonts w:hint="eastAsia" w:ascii="仿宋_GB2312" w:hAnsi="仿宋_GB2312" w:eastAsia="仿宋_GB2312" w:cs="仿宋_GB2312"/>
                <w:szCs w:val="21"/>
                <w:lang w:val="en-US" w:eastAsia="zh-CN"/>
              </w:rPr>
              <w:t>基础化妆</w:t>
            </w:r>
            <w:r>
              <w:rPr>
                <w:rFonts w:hint="eastAsia" w:ascii="仿宋_GB2312" w:hAnsi="仿宋_GB2312" w:eastAsia="仿宋_GB2312" w:cs="仿宋_GB2312"/>
                <w:szCs w:val="21"/>
              </w:rPr>
              <w:t>设计的基本规律和艺术法则；能够熟练应用</w:t>
            </w:r>
            <w:r>
              <w:rPr>
                <w:rFonts w:hint="eastAsia" w:ascii="仿宋_GB2312" w:hAnsi="仿宋_GB2312" w:eastAsia="仿宋_GB2312" w:cs="仿宋_GB2312"/>
                <w:szCs w:val="21"/>
                <w:lang w:val="en-US" w:eastAsia="zh-CN"/>
              </w:rPr>
              <w:t>相应技巧、手法，</w:t>
            </w:r>
            <w:r>
              <w:rPr>
                <w:rFonts w:hint="eastAsia" w:ascii="仿宋_GB2312" w:hAnsi="仿宋_GB2312" w:eastAsia="仿宋_GB2312" w:cs="仿宋_GB2312"/>
                <w:szCs w:val="21"/>
              </w:rPr>
              <w:t>独立完成</w:t>
            </w:r>
            <w:r>
              <w:rPr>
                <w:rFonts w:hint="eastAsia" w:ascii="仿宋_GB2312" w:hAnsi="仿宋_GB2312" w:eastAsia="仿宋_GB2312" w:cs="仿宋_GB2312"/>
                <w:szCs w:val="21"/>
                <w:lang w:val="en-US" w:eastAsia="zh-CN"/>
              </w:rPr>
              <w:t>简易</w:t>
            </w:r>
            <w:r>
              <w:rPr>
                <w:rFonts w:hint="eastAsia" w:ascii="仿宋_GB2312" w:hAnsi="仿宋_GB2312" w:eastAsia="仿宋_GB2312" w:cs="仿宋_GB2312"/>
                <w:szCs w:val="21"/>
              </w:rPr>
              <w:t>作品的创意、设计与制作。</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1530" w:type="dxa"/>
            <w:vAlign w:val="center"/>
          </w:tcPr>
          <w:p>
            <w:pPr>
              <w:adjustRightInd w:val="0"/>
              <w:snapToGrid w:val="0"/>
              <w:spacing w:line="36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奇幻造型</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w:t>
            </w:r>
            <w:r>
              <w:rPr>
                <w:rFonts w:hint="eastAsia" w:ascii="仿宋_GB2312" w:hAnsi="仿宋_GB2312" w:eastAsia="仿宋_GB2312" w:cs="仿宋_GB2312"/>
                <w:szCs w:val="21"/>
                <w:lang w:val="en-US" w:eastAsia="zh-CN"/>
              </w:rPr>
              <w:t>形象设计</w:t>
            </w:r>
            <w:r>
              <w:rPr>
                <w:rFonts w:hint="eastAsia" w:ascii="仿宋_GB2312" w:hAnsi="仿宋_GB2312" w:eastAsia="仿宋_GB2312" w:cs="仿宋_GB2312"/>
                <w:szCs w:val="21"/>
              </w:rPr>
              <w:t>发展历程；了解不同</w:t>
            </w:r>
            <w:r>
              <w:rPr>
                <w:rFonts w:hint="eastAsia" w:ascii="仿宋_GB2312" w:hAnsi="仿宋_GB2312" w:eastAsia="仿宋_GB2312" w:cs="仿宋_GB2312"/>
                <w:szCs w:val="21"/>
                <w:lang w:val="en-US" w:eastAsia="zh-CN"/>
              </w:rPr>
              <w:t>时代、年代、风格对应对应的形象特点</w:t>
            </w:r>
            <w:r>
              <w:rPr>
                <w:rFonts w:hint="eastAsia" w:ascii="仿宋_GB2312" w:hAnsi="仿宋_GB2312" w:eastAsia="仿宋_GB2312" w:cs="仿宋_GB2312"/>
                <w:szCs w:val="21"/>
              </w:rPr>
              <w:t>；了解</w:t>
            </w:r>
            <w:r>
              <w:rPr>
                <w:rFonts w:hint="eastAsia" w:ascii="仿宋_GB2312" w:hAnsi="仿宋_GB2312" w:eastAsia="仿宋_GB2312" w:cs="仿宋_GB2312"/>
                <w:szCs w:val="21"/>
                <w:lang w:val="en-US" w:eastAsia="zh-CN"/>
              </w:rPr>
              <w:t>形象</w:t>
            </w:r>
            <w:r>
              <w:rPr>
                <w:rFonts w:hint="eastAsia" w:ascii="仿宋_GB2312" w:hAnsi="仿宋_GB2312" w:eastAsia="仿宋_GB2312" w:cs="仿宋_GB2312"/>
                <w:szCs w:val="21"/>
              </w:rPr>
              <w:t>设计的创意规律和表现形式法则；掌握</w:t>
            </w:r>
            <w:r>
              <w:rPr>
                <w:rFonts w:hint="eastAsia" w:ascii="仿宋_GB2312" w:hAnsi="仿宋_GB2312" w:eastAsia="仿宋_GB2312" w:cs="仿宋_GB2312"/>
                <w:szCs w:val="21"/>
                <w:lang w:val="en-US" w:eastAsia="zh-CN"/>
              </w:rPr>
              <w:t>复杂造型</w:t>
            </w:r>
            <w:r>
              <w:rPr>
                <w:rFonts w:hint="eastAsia" w:ascii="仿宋_GB2312" w:hAnsi="仿宋_GB2312" w:eastAsia="仿宋_GB2312" w:cs="仿宋_GB2312"/>
                <w:szCs w:val="21"/>
              </w:rPr>
              <w:t>设计和</w:t>
            </w:r>
            <w:r>
              <w:rPr>
                <w:rFonts w:hint="eastAsia" w:ascii="仿宋_GB2312" w:hAnsi="仿宋_GB2312" w:eastAsia="仿宋_GB2312" w:cs="仿宋_GB2312"/>
                <w:szCs w:val="21"/>
                <w:lang w:val="en-US" w:eastAsia="zh-CN"/>
              </w:rPr>
              <w:t>不同人物风格</w:t>
            </w:r>
            <w:r>
              <w:rPr>
                <w:rFonts w:hint="eastAsia" w:ascii="仿宋_GB2312" w:hAnsi="仿宋_GB2312" w:eastAsia="仿宋_GB2312" w:cs="仿宋_GB2312"/>
                <w:szCs w:val="21"/>
              </w:rPr>
              <w:t>设计的技能和理论知识；能够根据设计的要求完成</w:t>
            </w:r>
            <w:r>
              <w:rPr>
                <w:rFonts w:hint="eastAsia" w:ascii="仿宋_GB2312" w:hAnsi="仿宋_GB2312" w:eastAsia="仿宋_GB2312" w:cs="仿宋_GB2312"/>
                <w:szCs w:val="21"/>
                <w:lang w:val="en-US" w:eastAsia="zh-CN"/>
              </w:rPr>
              <w:t>多种造型</w:t>
            </w:r>
            <w:r>
              <w:rPr>
                <w:rFonts w:hint="eastAsia" w:ascii="仿宋_GB2312" w:hAnsi="仿宋_GB2312" w:eastAsia="仿宋_GB2312" w:cs="仿宋_GB2312"/>
                <w:szCs w:val="21"/>
              </w:rPr>
              <w:t>设计与</w:t>
            </w:r>
            <w:r>
              <w:rPr>
                <w:rFonts w:hint="eastAsia" w:ascii="仿宋_GB2312" w:hAnsi="仿宋_GB2312" w:eastAsia="仿宋_GB2312" w:cs="仿宋_GB2312"/>
                <w:szCs w:val="21"/>
                <w:lang w:val="en-US" w:eastAsia="zh-CN"/>
              </w:rPr>
              <w:t>形象</w:t>
            </w:r>
            <w:r>
              <w:rPr>
                <w:rFonts w:hint="eastAsia" w:ascii="仿宋_GB2312" w:hAnsi="仿宋_GB2312" w:eastAsia="仿宋_GB2312" w:cs="仿宋_GB2312"/>
                <w:szCs w:val="21"/>
              </w:rPr>
              <w:t>设计的相关工作。</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1530" w:type="dxa"/>
            <w:vAlign w:val="center"/>
          </w:tcPr>
          <w:p>
            <w:pPr>
              <w:adjustRightInd w:val="0"/>
              <w:snapToGrid w:val="0"/>
              <w:spacing w:line="36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整体搭配</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通过系统地讲授</w:t>
            </w:r>
            <w:r>
              <w:rPr>
                <w:rFonts w:hint="eastAsia" w:ascii="仿宋_GB2312" w:hAnsi="仿宋_GB2312" w:eastAsia="仿宋_GB2312" w:cs="仿宋_GB2312"/>
                <w:szCs w:val="21"/>
                <w:lang w:val="en-US" w:eastAsia="zh-CN"/>
              </w:rPr>
              <w:t>整体造型设计</w:t>
            </w:r>
            <w:r>
              <w:rPr>
                <w:rFonts w:hint="eastAsia" w:ascii="仿宋_GB2312" w:hAnsi="仿宋_GB2312" w:eastAsia="仿宋_GB2312" w:cs="仿宋_GB2312"/>
                <w:szCs w:val="21"/>
              </w:rPr>
              <w:t>方面的知识，使学生熟悉</w:t>
            </w:r>
            <w:r>
              <w:rPr>
                <w:rFonts w:hint="eastAsia" w:ascii="仿宋_GB2312" w:hAnsi="仿宋_GB2312" w:eastAsia="仿宋_GB2312" w:cs="仿宋_GB2312"/>
                <w:szCs w:val="21"/>
                <w:lang w:val="en-US" w:eastAsia="zh-CN"/>
              </w:rPr>
              <w:t>整体形象</w:t>
            </w:r>
            <w:r>
              <w:rPr>
                <w:rFonts w:hint="eastAsia" w:ascii="仿宋_GB2312" w:hAnsi="仿宋_GB2312" w:eastAsia="仿宋_GB2312" w:cs="仿宋_GB2312"/>
                <w:szCs w:val="21"/>
              </w:rPr>
              <w:t>设计的流程，掌握</w:t>
            </w:r>
            <w:r>
              <w:rPr>
                <w:rFonts w:hint="eastAsia" w:ascii="仿宋_GB2312" w:hAnsi="仿宋_GB2312" w:eastAsia="仿宋_GB2312" w:cs="仿宋_GB2312"/>
                <w:szCs w:val="21"/>
                <w:lang w:val="en-US" w:eastAsia="zh-CN"/>
              </w:rPr>
              <w:t>主题造型的独立创作</w:t>
            </w:r>
            <w:r>
              <w:rPr>
                <w:rFonts w:hint="eastAsia" w:ascii="仿宋_GB2312" w:hAnsi="仿宋_GB2312" w:eastAsia="仿宋_GB2312" w:cs="仿宋_GB2312"/>
                <w:szCs w:val="21"/>
              </w:rPr>
              <w:t>的技能和相关理论知识，能独立承担</w:t>
            </w:r>
            <w:r>
              <w:rPr>
                <w:rFonts w:hint="eastAsia" w:ascii="仿宋_GB2312" w:hAnsi="仿宋_GB2312" w:eastAsia="仿宋_GB2312" w:cs="仿宋_GB2312"/>
                <w:szCs w:val="21"/>
                <w:lang w:val="en-US" w:eastAsia="zh-CN"/>
              </w:rPr>
              <w:t>个人定制造型</w:t>
            </w:r>
            <w:r>
              <w:rPr>
                <w:rFonts w:hint="eastAsia" w:ascii="仿宋_GB2312" w:hAnsi="仿宋_GB2312" w:eastAsia="仿宋_GB2312" w:cs="仿宋_GB2312"/>
                <w:szCs w:val="21"/>
              </w:rPr>
              <w:t>任务，使学生能从艺术设计的角度出发，根据</w:t>
            </w:r>
            <w:r>
              <w:rPr>
                <w:rFonts w:hint="eastAsia" w:ascii="仿宋_GB2312" w:hAnsi="仿宋_GB2312" w:eastAsia="仿宋_GB2312" w:cs="仿宋_GB2312"/>
                <w:szCs w:val="21"/>
                <w:lang w:val="en-US" w:eastAsia="zh-CN"/>
              </w:rPr>
              <w:t>行业</w:t>
            </w:r>
            <w:r>
              <w:rPr>
                <w:rFonts w:hint="eastAsia" w:ascii="仿宋_GB2312" w:hAnsi="仿宋_GB2312" w:eastAsia="仿宋_GB2312" w:cs="仿宋_GB2312"/>
                <w:szCs w:val="21"/>
              </w:rPr>
              <w:t>特点，</w:t>
            </w:r>
            <w:r>
              <w:rPr>
                <w:rFonts w:hint="eastAsia" w:ascii="仿宋_GB2312" w:hAnsi="仿宋_GB2312" w:eastAsia="仿宋_GB2312" w:cs="仿宋_GB2312"/>
                <w:szCs w:val="21"/>
                <w:lang w:val="en-US" w:eastAsia="zh-CN"/>
              </w:rPr>
              <w:t>服务</w:t>
            </w:r>
            <w:r>
              <w:rPr>
                <w:rFonts w:hint="eastAsia" w:ascii="仿宋_GB2312" w:hAnsi="仿宋_GB2312" w:eastAsia="仿宋_GB2312" w:cs="仿宋_GB2312"/>
                <w:szCs w:val="21"/>
              </w:rPr>
              <w:t>方式，结合市场学、消费心理学，以及</w:t>
            </w:r>
            <w:r>
              <w:rPr>
                <w:rFonts w:hint="eastAsia" w:ascii="仿宋_GB2312" w:hAnsi="仿宋_GB2312" w:eastAsia="仿宋_GB2312" w:cs="仿宋_GB2312"/>
                <w:szCs w:val="21"/>
                <w:lang w:val="en-US" w:eastAsia="zh-CN"/>
              </w:rPr>
              <w:t>化妆品学、皮肤科学和毛发科学知识，结合整体造型设计、根据客户/模特的年龄、职业、角色等，综合</w:t>
            </w:r>
            <w:r>
              <w:rPr>
                <w:rFonts w:hint="eastAsia" w:ascii="仿宋" w:hAnsi="仿宋" w:eastAsia="仿宋" w:cs="仿宋"/>
                <w:szCs w:val="21"/>
                <w:lang w:val="en-US" w:eastAsia="zh-CN"/>
              </w:rPr>
              <w:t>T·P·O</w:t>
            </w:r>
            <w:r>
              <w:rPr>
                <w:rFonts w:hint="eastAsia" w:ascii="仿宋_GB2312" w:hAnsi="仿宋_GB2312" w:eastAsia="仿宋_GB2312" w:cs="仿宋_GB2312"/>
                <w:szCs w:val="21"/>
                <w:lang w:val="en-US" w:eastAsia="zh-CN"/>
              </w:rPr>
              <w:t>，创作出符合其要求/特点的高端形象设计，并</w:t>
            </w:r>
            <w:r>
              <w:rPr>
                <w:rFonts w:hint="eastAsia" w:ascii="仿宋_GB2312" w:hAnsi="仿宋_GB2312" w:eastAsia="仿宋_GB2312" w:cs="仿宋_GB2312"/>
                <w:szCs w:val="21"/>
              </w:rPr>
              <w:t>为其将来参加</w:t>
            </w:r>
            <w:r>
              <w:rPr>
                <w:rFonts w:hint="eastAsia" w:ascii="仿宋_GB2312" w:hAnsi="仿宋_GB2312" w:eastAsia="仿宋_GB2312" w:cs="仿宋_GB2312"/>
                <w:szCs w:val="21"/>
                <w:lang w:val="en-US" w:eastAsia="zh-CN"/>
              </w:rPr>
              <w:t>美业相关</w:t>
            </w:r>
            <w:r>
              <w:rPr>
                <w:rFonts w:hint="eastAsia" w:ascii="仿宋_GB2312" w:hAnsi="仿宋_GB2312" w:eastAsia="仿宋_GB2312" w:cs="仿宋_GB2312"/>
                <w:szCs w:val="21"/>
              </w:rPr>
              <w:t>工作打下良好的基础。</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1530" w:type="dxa"/>
            <w:vAlign w:val="center"/>
          </w:tcPr>
          <w:p>
            <w:pPr>
              <w:adjustRightInd w:val="0"/>
              <w:snapToGrid w:val="0"/>
              <w:spacing w:line="36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美容美体</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通过教学与训练，使学生了解人体的生理常识，掌握美容的基础理论，掌握美容的皮肤护理及各类化妆技术，熟悉现代美容服务的各项专业技术，基本掌握造型化妆设计、改造妆容设计等塑造面容形象的技术。</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1530" w:type="dxa"/>
            <w:vAlign w:val="center"/>
          </w:tcPr>
          <w:p>
            <w:pPr>
              <w:adjustRightInd w:val="0"/>
              <w:snapToGrid w:val="0"/>
              <w:spacing w:line="36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美甲造型</w:t>
            </w:r>
          </w:p>
        </w:tc>
        <w:tc>
          <w:tcPr>
            <w:tcW w:w="6851" w:type="dxa"/>
            <w:vAlign w:val="center"/>
          </w:tcPr>
          <w:p>
            <w:pPr>
              <w:adjustRightInd w:val="0"/>
              <w:snapToGrid w:val="0"/>
              <w:spacing w:line="360" w:lineRule="exact"/>
              <w:ind w:firstLine="420" w:firstLineChars="200"/>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通过学习</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了解</w:t>
            </w:r>
            <w:r>
              <w:rPr>
                <w:rFonts w:hint="eastAsia" w:ascii="仿宋_GB2312" w:hAnsi="仿宋_GB2312" w:eastAsia="仿宋_GB2312" w:cs="仿宋_GB2312"/>
                <w:szCs w:val="21"/>
              </w:rPr>
              <w:t>有关</w:t>
            </w:r>
            <w:r>
              <w:rPr>
                <w:rFonts w:hint="eastAsia" w:ascii="仿宋_GB2312" w:hAnsi="仿宋_GB2312" w:eastAsia="仿宋_GB2312" w:cs="仿宋_GB2312"/>
                <w:szCs w:val="21"/>
                <w:lang w:val="en-US" w:eastAsia="zh-CN"/>
              </w:rPr>
              <w:t>行业、产业、技巧的发展史，掌握基础彩绘手法及技法要领，拥有独立创作、设计的能力。掌握色彩搭配常识，熟悉对客技巧，能够独立完成相应美甲造型。</w:t>
            </w:r>
          </w:p>
        </w:tc>
        <w:tc>
          <w:tcPr>
            <w:tcW w:w="1079" w:type="dxa"/>
            <w:vAlign w:val="center"/>
          </w:tcPr>
          <w:p>
            <w:pPr>
              <w:adjustRightInd w:val="0"/>
              <w:snapToGrid w:val="0"/>
              <w:spacing w:line="360" w:lineRule="exact"/>
              <w:ind w:firstLine="420" w:firstLineChars="200"/>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1530" w:type="dxa"/>
            <w:vAlign w:val="center"/>
          </w:tcPr>
          <w:p>
            <w:pPr>
              <w:adjustRightInd w:val="0"/>
              <w:snapToGrid w:val="0"/>
              <w:spacing w:line="36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市场营销学</w:t>
            </w:r>
          </w:p>
        </w:tc>
        <w:tc>
          <w:tcPr>
            <w:tcW w:w="6851" w:type="dxa"/>
            <w:vAlign w:val="center"/>
          </w:tcPr>
          <w:p>
            <w:pPr>
              <w:adjustRightInd w:val="0"/>
              <w:snapToGrid w:val="0"/>
              <w:spacing w:line="360" w:lineRule="exact"/>
              <w:ind w:firstLine="420" w:firstLineChars="200"/>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了解</w:t>
            </w:r>
            <w:r>
              <w:rPr>
                <w:rFonts w:hint="eastAsia" w:ascii="仿宋_GB2312" w:hAnsi="仿宋_GB2312" w:eastAsia="仿宋_GB2312" w:cs="仿宋_GB2312"/>
                <w:szCs w:val="21"/>
                <w:lang w:val="en-US" w:eastAsia="zh-CN"/>
              </w:rPr>
              <w:t>基础市场营销常识，了解需求及相关的欲求、需要;产品及相关的效用、价值和满足;交换及相关的交易和关系，市场、市场营销及市场营销者。</w:t>
            </w:r>
          </w:p>
        </w:tc>
        <w:tc>
          <w:tcPr>
            <w:tcW w:w="1079" w:type="dxa"/>
            <w:vAlign w:val="center"/>
          </w:tcPr>
          <w:p>
            <w:pPr>
              <w:adjustRightInd w:val="0"/>
              <w:snapToGrid w:val="0"/>
              <w:spacing w:line="360" w:lineRule="exact"/>
              <w:ind w:firstLine="420" w:firstLineChars="200"/>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54</w:t>
            </w:r>
          </w:p>
        </w:tc>
      </w:tr>
    </w:tbl>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Pr>
      </w:pP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sz w:val="32"/>
          <w:szCs w:val="32"/>
          <w:highlight w:val="none"/>
        </w:rPr>
      </w:pP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3.专业拓展课程</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szCs w:val="32"/>
          <w:lang w:val="en-US" w:eastAsia="zh-CN"/>
        </w:rPr>
        <w:t>绘画基础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人体解剖知识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服饰与造型</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门专业拓展课程。</w:t>
      </w:r>
    </w:p>
    <w:tbl>
      <w:tblPr>
        <w:tblStyle w:val="11"/>
        <w:tblW w:w="5560" w:type="pct"/>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515"/>
        <w:gridCol w:w="6839"/>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320"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751" w:type="pct"/>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3393"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533" w:type="pct"/>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trPr>
        <w:tc>
          <w:tcPr>
            <w:tcW w:w="320"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51"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影视及戏剧化妆</w:t>
            </w:r>
          </w:p>
        </w:tc>
        <w:tc>
          <w:tcPr>
            <w:tcW w:w="3393" w:type="pct"/>
          </w:tcPr>
          <w:p>
            <w:pPr>
              <w:adjustRightInd w:val="0"/>
              <w:snapToGrid w:val="0"/>
              <w:spacing w:line="5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通过教学和训练，使学生了解影视及戏剧的造型特点，并能运用所学的色彩、化妆、发型、服饰等课程的专业知识和技能，较好地进行影视及戏剧的人物造型。</w:t>
            </w:r>
          </w:p>
        </w:tc>
        <w:tc>
          <w:tcPr>
            <w:tcW w:w="533"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6" w:hRule="atLeast"/>
        </w:trPr>
        <w:tc>
          <w:tcPr>
            <w:tcW w:w="320"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51"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人体解剖知识</w:t>
            </w:r>
          </w:p>
        </w:tc>
        <w:tc>
          <w:tcPr>
            <w:tcW w:w="3393" w:type="pct"/>
          </w:tcPr>
          <w:p>
            <w:pPr>
              <w:adjustRightInd w:val="0"/>
              <w:snapToGrid w:val="0"/>
              <w:spacing w:line="540" w:lineRule="exact"/>
              <w:ind w:firstLine="420" w:firstLineChars="200"/>
              <w:jc w:val="left"/>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通过教学，使学生了解人体皮肤的结构、人体头面部骨骼和人体肌肉的分布与作用，掌握常用的头面部穴位，并熟悉其定位及主治，为美容的护理学习打下基础</w:t>
            </w:r>
            <w:r>
              <w:rPr>
                <w:rFonts w:hint="eastAsia" w:ascii="仿宋_GB2312" w:hAnsi="仿宋_GB2312" w:eastAsia="仿宋_GB2312" w:cs="仿宋_GB2312"/>
                <w:szCs w:val="21"/>
                <w:lang w:eastAsia="zh-CN"/>
              </w:rPr>
              <w:t>。</w:t>
            </w:r>
          </w:p>
        </w:tc>
        <w:tc>
          <w:tcPr>
            <w:tcW w:w="533"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20"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751"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服饰与造型</w:t>
            </w:r>
          </w:p>
        </w:tc>
        <w:tc>
          <w:tcPr>
            <w:tcW w:w="3393" w:type="pct"/>
          </w:tcPr>
          <w:p>
            <w:pPr>
              <w:adjustRightInd w:val="0"/>
              <w:snapToGrid w:val="0"/>
              <w:spacing w:line="5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通过教学和训练，使学生了解服饰造型的基本原理，掌握服装与饰品的搭配技巧，基本掌握服饰与人物整体造型的技术。</w:t>
            </w:r>
          </w:p>
        </w:tc>
        <w:tc>
          <w:tcPr>
            <w:tcW w:w="533"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bl>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4.实习实训</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专业人才培养和课程需要，在专业课程学习过程中，对接真实企业场景或工作情景，采取理实一体化项目教学实训和分阶段集中专门化综合实训的方式，在校内实训基地和校外实习基地进行实训和认识实习，在第六学期进行岗位实习。实习实训既是实践性教学，也是专业课教学的重要内容，应注重理论与实践一体化教学，严格执行《职业学校学生实习管理规定》（教职成〔2021〕4号）和《</w:t>
      </w:r>
      <w:r>
        <w:rPr>
          <w:rFonts w:hint="eastAsia" w:ascii="仿宋_GB2312" w:hAnsi="仿宋_GB2312" w:eastAsia="仿宋_GB2312" w:cs="仿宋_GB2312"/>
          <w:sz w:val="32"/>
          <w:szCs w:val="32"/>
          <w:lang w:val="en-US" w:eastAsia="zh-CN"/>
        </w:rPr>
        <w:t>美发与形象</w:t>
      </w:r>
      <w:r>
        <w:rPr>
          <w:rFonts w:hint="eastAsia" w:ascii="仿宋_GB2312" w:hAnsi="仿宋_GB2312" w:eastAsia="仿宋_GB2312" w:cs="仿宋_GB2312"/>
          <w:sz w:val="32"/>
          <w:szCs w:val="32"/>
        </w:rPr>
        <w:t>设计专业岗位实习标准》，保证学生实习岗位与其所学专业面向的岗位（群）基本一致，内容符合标准要求。</w:t>
      </w:r>
    </w:p>
    <w:tbl>
      <w:tblPr>
        <w:tblStyle w:val="11"/>
        <w:tblW w:w="5156" w:type="pct"/>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500"/>
        <w:gridCol w:w="3542"/>
        <w:gridCol w:w="1335"/>
        <w:gridCol w:w="1319"/>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352"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802" w:type="pct"/>
            <w:vAlign w:val="center"/>
          </w:tcPr>
          <w:p>
            <w:pPr>
              <w:jc w:val="center"/>
              <w:rPr>
                <w:rFonts w:ascii="黑体" w:hAnsi="黑体" w:eastAsia="黑体" w:cs="黑体"/>
                <w:szCs w:val="21"/>
              </w:rPr>
            </w:pPr>
            <w:r>
              <w:rPr>
                <w:rFonts w:hint="eastAsia" w:ascii="黑体" w:hAnsi="黑体" w:eastAsia="黑体" w:cs="黑体"/>
                <w:szCs w:val="21"/>
              </w:rPr>
              <w:t>项目</w:t>
            </w:r>
          </w:p>
        </w:tc>
        <w:tc>
          <w:tcPr>
            <w:tcW w:w="1894"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714" w:type="pct"/>
            <w:vAlign w:val="center"/>
          </w:tcPr>
          <w:p>
            <w:pPr>
              <w:jc w:val="center"/>
              <w:rPr>
                <w:rFonts w:ascii="黑体" w:hAnsi="黑体" w:eastAsia="黑体" w:cs="黑体"/>
                <w:szCs w:val="21"/>
              </w:rPr>
            </w:pPr>
            <w:r>
              <w:rPr>
                <w:rFonts w:hint="eastAsia" w:ascii="黑体" w:hAnsi="黑体" w:eastAsia="黑体" w:cs="黑体"/>
                <w:szCs w:val="21"/>
              </w:rPr>
              <w:t>地点</w:t>
            </w:r>
          </w:p>
        </w:tc>
        <w:tc>
          <w:tcPr>
            <w:tcW w:w="706" w:type="pct"/>
            <w:vAlign w:val="center"/>
          </w:tcPr>
          <w:p>
            <w:pPr>
              <w:jc w:val="center"/>
              <w:rPr>
                <w:rFonts w:ascii="黑体" w:hAnsi="黑体" w:eastAsia="黑体" w:cs="黑体"/>
                <w:szCs w:val="21"/>
              </w:rPr>
            </w:pPr>
            <w:r>
              <w:rPr>
                <w:rFonts w:hint="eastAsia" w:ascii="黑体" w:hAnsi="黑体" w:eastAsia="黑体" w:cs="黑体"/>
                <w:szCs w:val="21"/>
              </w:rPr>
              <w:t>学期</w:t>
            </w:r>
          </w:p>
        </w:tc>
        <w:tc>
          <w:tcPr>
            <w:tcW w:w="529" w:type="pct"/>
            <w:vAlign w:val="center"/>
          </w:tcPr>
          <w:p>
            <w:pPr>
              <w:ind w:firstLine="210" w:firstLineChars="100"/>
              <w:rPr>
                <w:rFonts w:ascii="黑体" w:hAnsi="黑体" w:eastAsia="黑体" w:cs="黑体"/>
                <w:szCs w:val="21"/>
              </w:rPr>
            </w:pPr>
            <w:r>
              <w:rPr>
                <w:rFonts w:hint="eastAsia" w:ascii="黑体" w:hAnsi="黑体" w:eastAsia="黑体" w:cs="黑体"/>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trPr>
        <w:tc>
          <w:tcPr>
            <w:tcW w:w="352"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认识实习</w:t>
            </w:r>
          </w:p>
        </w:tc>
        <w:tc>
          <w:tcPr>
            <w:tcW w:w="1894" w:type="pct"/>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通过组织学生到实习单位参观、和体验等方式，使学生了解</w:t>
            </w:r>
            <w:r>
              <w:rPr>
                <w:rFonts w:hint="eastAsia" w:ascii="仿宋_GB2312" w:hAnsi="仿宋_GB2312" w:eastAsia="仿宋_GB2312" w:cs="仿宋_GB2312"/>
                <w:szCs w:val="21"/>
                <w:lang w:val="en-US" w:eastAsia="zh-CN"/>
              </w:rPr>
              <w:t>美发与形象设计中化妆师、造型师</w:t>
            </w:r>
            <w:r>
              <w:rPr>
                <w:rFonts w:hint="eastAsia" w:ascii="仿宋_GB2312" w:hAnsi="仿宋_GB2312" w:eastAsia="仿宋_GB2312" w:cs="仿宋_GB2312"/>
                <w:szCs w:val="21"/>
              </w:rPr>
              <w:t>等岗位的工作环境和要求，增强对未来职业岗位的感性认识，激发学生专业兴趣和培养专业情感。</w:t>
            </w:r>
          </w:p>
        </w:tc>
        <w:tc>
          <w:tcPr>
            <w:tcW w:w="714" w:type="pct"/>
            <w:vAlign w:val="center"/>
          </w:tcPr>
          <w:p>
            <w:pPr>
              <w:adjustRightInd w:val="0"/>
              <w:snapToGrid w:val="0"/>
              <w:spacing w:line="44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平面创意造型</w:t>
            </w:r>
            <w:r>
              <w:rPr>
                <w:rFonts w:hint="eastAsia" w:ascii="仿宋_GB2312" w:hAnsi="仿宋_GB2312" w:eastAsia="仿宋_GB2312" w:cs="仿宋_GB2312"/>
                <w:szCs w:val="21"/>
              </w:rPr>
              <w:t>类</w:t>
            </w:r>
            <w:r>
              <w:rPr>
                <w:rFonts w:hint="eastAsia" w:ascii="仿宋_GB2312" w:hAnsi="仿宋_GB2312" w:eastAsia="仿宋_GB2312" w:cs="仿宋_GB2312"/>
                <w:szCs w:val="21"/>
                <w:lang w:val="en-US" w:eastAsia="zh-CN"/>
              </w:rPr>
              <w:t>拍摄基地</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第1学期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35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形象</w:t>
            </w:r>
            <w:r>
              <w:rPr>
                <w:rFonts w:hint="eastAsia" w:ascii="仿宋_GB2312" w:hAnsi="仿宋_GB2312" w:eastAsia="仿宋_GB2312" w:cs="仿宋_GB2312"/>
                <w:szCs w:val="21"/>
              </w:rPr>
              <w:t>设计综合实训</w:t>
            </w:r>
          </w:p>
        </w:tc>
        <w:tc>
          <w:tcPr>
            <w:tcW w:w="1894" w:type="pct"/>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w:t>
            </w:r>
            <w:r>
              <w:rPr>
                <w:rFonts w:hint="eastAsia" w:ascii="仿宋_GB2312" w:hAnsi="仿宋_GB2312" w:eastAsia="仿宋_GB2312" w:cs="仿宋_GB2312"/>
                <w:szCs w:val="21"/>
                <w:lang w:val="en-US" w:eastAsia="zh-CN"/>
              </w:rPr>
              <w:t>形象设计</w:t>
            </w:r>
            <w:r>
              <w:rPr>
                <w:rFonts w:hint="eastAsia" w:ascii="仿宋_GB2312" w:hAnsi="仿宋_GB2312" w:eastAsia="仿宋_GB2312" w:cs="仿宋_GB2312"/>
                <w:szCs w:val="21"/>
              </w:rPr>
              <w:t>设计综合实训，使学生掌握</w:t>
            </w:r>
            <w:r>
              <w:rPr>
                <w:rFonts w:hint="eastAsia" w:ascii="仿宋_GB2312" w:hAnsi="仿宋_GB2312" w:eastAsia="仿宋_GB2312" w:cs="仿宋_GB2312"/>
                <w:szCs w:val="21"/>
                <w:lang w:val="en-US" w:eastAsia="zh-CN"/>
              </w:rPr>
              <w:t>面部修饰技巧、颜面部缺陷弥补、创意造型“点睛”、服务基础、个人定制</w:t>
            </w:r>
            <w:r>
              <w:rPr>
                <w:rFonts w:hint="eastAsia" w:ascii="仿宋_GB2312" w:hAnsi="仿宋_GB2312" w:eastAsia="仿宋_GB2312" w:cs="仿宋_GB2312"/>
                <w:szCs w:val="21"/>
              </w:rPr>
              <w:t>形象设计技能，具备一定的</w:t>
            </w:r>
            <w:r>
              <w:rPr>
                <w:rFonts w:hint="eastAsia" w:ascii="仿宋_GB2312" w:hAnsi="仿宋_GB2312" w:eastAsia="仿宋_GB2312" w:cs="仿宋_GB2312"/>
                <w:szCs w:val="21"/>
                <w:lang w:val="en-US" w:eastAsia="zh-CN"/>
              </w:rPr>
              <w:t>形象</w:t>
            </w:r>
            <w:r>
              <w:rPr>
                <w:rFonts w:hint="eastAsia" w:ascii="仿宋_GB2312" w:hAnsi="仿宋_GB2312" w:eastAsia="仿宋_GB2312" w:cs="仿宋_GB2312"/>
                <w:szCs w:val="21"/>
              </w:rPr>
              <w:t>设计理论基础和设计技术能力，全面提升学生解决实训中遇到的实际问题能力。</w:t>
            </w:r>
          </w:p>
        </w:tc>
        <w:tc>
          <w:tcPr>
            <w:tcW w:w="714" w:type="pct"/>
            <w:vAlign w:val="center"/>
          </w:tcPr>
          <w:p>
            <w:pPr>
              <w:adjustRightInd w:val="0"/>
              <w:snapToGrid w:val="0"/>
              <w:spacing w:line="44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形象</w:t>
            </w:r>
            <w:r>
              <w:rPr>
                <w:rFonts w:hint="eastAsia" w:ascii="仿宋_GB2312" w:hAnsi="仿宋_GB2312" w:eastAsia="仿宋_GB2312" w:cs="仿宋_GB2312"/>
                <w:szCs w:val="21"/>
              </w:rPr>
              <w:t>设计实训室</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第5学期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35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美甲美体</w:t>
            </w:r>
            <w:r>
              <w:rPr>
                <w:rFonts w:hint="eastAsia" w:ascii="仿宋_GB2312" w:hAnsi="仿宋_GB2312" w:eastAsia="仿宋_GB2312" w:cs="仿宋_GB2312"/>
                <w:szCs w:val="21"/>
              </w:rPr>
              <w:t>综合实训</w:t>
            </w:r>
          </w:p>
        </w:tc>
        <w:tc>
          <w:tcPr>
            <w:tcW w:w="1894" w:type="pct"/>
          </w:tcPr>
          <w:p>
            <w:pPr>
              <w:adjustRightInd w:val="0"/>
              <w:snapToGrid w:val="0"/>
              <w:spacing w:line="44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w:t>
            </w:r>
            <w:r>
              <w:rPr>
                <w:rFonts w:hint="eastAsia" w:ascii="仿宋_GB2312" w:hAnsi="仿宋_GB2312" w:eastAsia="仿宋_GB2312" w:cs="仿宋_GB2312"/>
                <w:szCs w:val="21"/>
                <w:lang w:val="en-US" w:eastAsia="zh-CN"/>
              </w:rPr>
              <w:t>美甲美体</w:t>
            </w:r>
            <w:r>
              <w:rPr>
                <w:rFonts w:hint="eastAsia" w:ascii="仿宋_GB2312" w:hAnsi="仿宋_GB2312" w:eastAsia="仿宋_GB2312" w:cs="仿宋_GB2312"/>
                <w:szCs w:val="21"/>
              </w:rPr>
              <w:t>综合实训，使学生掌握</w:t>
            </w:r>
            <w:r>
              <w:rPr>
                <w:rFonts w:hint="eastAsia" w:ascii="仿宋_GB2312" w:hAnsi="仿宋_GB2312" w:eastAsia="仿宋_GB2312" w:cs="仿宋_GB2312"/>
                <w:szCs w:val="21"/>
                <w:lang w:val="en-US" w:eastAsia="zh-CN"/>
              </w:rPr>
              <w:t>对客美甲、美体实践</w:t>
            </w:r>
            <w:r>
              <w:rPr>
                <w:rFonts w:hint="eastAsia" w:ascii="仿宋_GB2312" w:hAnsi="仿宋_GB2312" w:eastAsia="仿宋_GB2312" w:cs="仿宋_GB2312"/>
                <w:szCs w:val="21"/>
              </w:rPr>
              <w:t>方法，具备一定的的创新能力，能够独立完成带有创意思维的</w:t>
            </w:r>
            <w:r>
              <w:rPr>
                <w:rFonts w:hint="eastAsia" w:ascii="仿宋_GB2312" w:hAnsi="仿宋_GB2312" w:eastAsia="仿宋_GB2312" w:cs="仿宋_GB2312"/>
                <w:szCs w:val="21"/>
                <w:lang w:val="en-US" w:eastAsia="zh-CN"/>
              </w:rPr>
              <w:t>美甲作品、能够独立应对基础护理的顾客，</w:t>
            </w:r>
            <w:r>
              <w:rPr>
                <w:rFonts w:hint="eastAsia" w:ascii="仿宋_GB2312" w:hAnsi="仿宋_GB2312" w:eastAsia="仿宋_GB2312" w:cs="仿宋_GB2312"/>
                <w:szCs w:val="21"/>
              </w:rPr>
              <w:t>全面提升学生解决实训中遇到的实际问题能力。</w:t>
            </w:r>
          </w:p>
        </w:tc>
        <w:tc>
          <w:tcPr>
            <w:tcW w:w="714"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美甲美体</w:t>
            </w:r>
            <w:r>
              <w:rPr>
                <w:rFonts w:hint="eastAsia" w:ascii="仿宋_GB2312" w:hAnsi="仿宋_GB2312" w:eastAsia="仿宋_GB2312" w:cs="仿宋_GB2312"/>
                <w:szCs w:val="21"/>
              </w:rPr>
              <w:t>设计实训室</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第5学期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352"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岗位实习</w:t>
            </w:r>
          </w:p>
        </w:tc>
        <w:tc>
          <w:tcPr>
            <w:tcW w:w="1894" w:type="pct"/>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通过岗位实习，了解企业的组织架构、规章制度、企业文化和安全生产基本知识，运用所学专业知识和技能，进行</w:t>
            </w:r>
            <w:r>
              <w:rPr>
                <w:rFonts w:hint="eastAsia" w:ascii="仿宋_GB2312" w:hAnsi="仿宋_GB2312" w:eastAsia="仿宋_GB2312" w:cs="仿宋_GB2312"/>
                <w:szCs w:val="21"/>
                <w:lang w:val="en-US" w:eastAsia="zh-CN"/>
              </w:rPr>
              <w:t>化妆</w:t>
            </w:r>
            <w:r>
              <w:rPr>
                <w:rFonts w:hint="eastAsia" w:ascii="仿宋_GB2312" w:hAnsi="仿宋_GB2312" w:eastAsia="仿宋_GB2312" w:cs="仿宋_GB2312"/>
                <w:szCs w:val="21"/>
              </w:rPr>
              <w:t>师</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造型师</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化妆师</w:t>
            </w:r>
            <w:r>
              <w:rPr>
                <w:rFonts w:hint="eastAsia" w:ascii="仿宋_GB2312" w:hAnsi="仿宋_GB2312" w:eastAsia="仿宋_GB2312" w:cs="仿宋_GB2312"/>
                <w:szCs w:val="21"/>
              </w:rPr>
              <w:t>助理、</w:t>
            </w:r>
            <w:r>
              <w:rPr>
                <w:rFonts w:hint="eastAsia" w:ascii="仿宋_GB2312" w:hAnsi="仿宋_GB2312" w:eastAsia="仿宋_GB2312" w:cs="仿宋_GB2312"/>
                <w:szCs w:val="21"/>
                <w:lang w:val="en-US" w:eastAsia="zh-CN"/>
              </w:rPr>
              <w:t>美甲师、美容师</w:t>
            </w:r>
            <w:r>
              <w:rPr>
                <w:rFonts w:hint="eastAsia" w:ascii="仿宋_GB2312" w:hAnsi="仿宋_GB2312" w:eastAsia="仿宋_GB2312" w:cs="仿宋_GB2312"/>
                <w:szCs w:val="21"/>
              </w:rPr>
              <w:t>等相关岗位的实践，提升专业技能和工作能力。初步形成良好的职业道德意识和行为规范，学会沟通交流和团队协作，提高社会适应能力，为今后真正走上工作岗位打下坚实的基础。</w:t>
            </w:r>
          </w:p>
        </w:tc>
        <w:tc>
          <w:tcPr>
            <w:tcW w:w="714"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实习单位</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第5-6学期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720</w:t>
            </w:r>
          </w:p>
        </w:tc>
      </w:tr>
    </w:tbl>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黑体" w:hAnsi="黑体" w:eastAsia="黑体" w:cs="黑体"/>
          <w:sz w:val="32"/>
          <w:szCs w:val="32"/>
          <w:lang w:val="en-US" w:eastAsia="zh-CN"/>
        </w:rPr>
      </w:pPr>
      <w:bookmarkStart w:id="11" w:name="_Toc437"/>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w:t>
      </w:r>
      <w:r>
        <w:rPr>
          <w:rFonts w:hint="eastAsia" w:ascii="黑体" w:hAnsi="黑体" w:eastAsia="黑体" w:cs="黑体"/>
          <w:sz w:val="32"/>
          <w:szCs w:val="32"/>
        </w:rPr>
        <w:t>、</w:t>
      </w:r>
      <w:r>
        <w:rPr>
          <w:rFonts w:hint="eastAsia" w:ascii="黑体" w:hAnsi="黑体" w:eastAsia="黑体" w:cs="黑体"/>
          <w:sz w:val="32"/>
          <w:szCs w:val="32"/>
          <w:lang w:val="en-US" w:eastAsia="zh-CN"/>
        </w:rPr>
        <w:t>教学进程总体安排</w:t>
      </w:r>
      <w:bookmarkEnd w:id="1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textAlignment w:val="auto"/>
        <w:outlineLvl w:val="1"/>
        <w:rPr>
          <w:rFonts w:hint="eastAsia" w:ascii="楷体_GB2312" w:hAnsi="楷体_GB2312" w:eastAsia="楷体_GB2312" w:cs="楷体_GB2312"/>
          <w:sz w:val="32"/>
          <w:szCs w:val="32"/>
        </w:rPr>
      </w:pPr>
      <w:bookmarkStart w:id="12" w:name="_Toc6882"/>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基本要求</w:t>
      </w:r>
      <w:bookmarkEnd w:id="12"/>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每学年为52周，其中教学时间40周，去除复习考试、节假日休假等，按每学期18周计算，周学时为29学时，总学时数3000-3300学时。课程开设顺序和周学时安排，可根据实际情况调整。</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公共基础课学时约占总学时的1/3，可以根据行业人才培养的实际需要在规定的范围内适当调整，但必须保证学生修完公共基础课的必修内容和学时。课程设置中应设选修课，其学时数占总学时的比例应不少于10%。</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sz w:val="32"/>
          <w:szCs w:val="32"/>
        </w:rPr>
        <w:t>专业课学时约占总学时的2/3，在确保学生实习总量的前提下，可根据实际需要集中或分阶段安排实习时间。加强实践教学，占总学时数50%以上。</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textAlignment w:val="auto"/>
        <w:outlineLvl w:val="1"/>
        <w:rPr>
          <w:rFonts w:hint="eastAsia" w:ascii="楷体_GB2312" w:hAnsi="楷体_GB2312" w:eastAsia="楷体_GB2312" w:cs="楷体_GB2312"/>
          <w:sz w:val="32"/>
          <w:szCs w:val="32"/>
        </w:rPr>
      </w:pPr>
      <w:bookmarkStart w:id="13" w:name="_Toc2753"/>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教学时间安排</w:t>
      </w:r>
      <w:bookmarkEnd w:id="13"/>
    </w:p>
    <w:tbl>
      <w:tblPr>
        <w:tblStyle w:val="11"/>
        <w:tblW w:w="950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67"/>
        <w:gridCol w:w="3473"/>
        <w:gridCol w:w="1425"/>
        <w:gridCol w:w="1031"/>
        <w:gridCol w:w="926"/>
        <w:gridCol w:w="10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1567" w:type="dxa"/>
            <w:vAlign w:val="center"/>
          </w:tcPr>
          <w:p>
            <w:pPr>
              <w:ind w:firstLine="840" w:firstLineChars="400"/>
              <w:rPr>
                <w:rFonts w:ascii="仿宋_GB2312" w:hAnsi="仿宋_GB2312" w:eastAsia="仿宋_GB2312" w:cs="仿宋_GB2312"/>
                <w:szCs w:val="21"/>
              </w:rPr>
            </w:pPr>
            <w:r>
              <w:rPr>
                <w:rFonts w:hint="eastAsia" w:ascii="仿宋_GB2312" w:hAnsi="仿宋_GB2312" w:eastAsia="仿宋_GB2312" w:cs="仿宋_GB2312"/>
                <w:szCs w:val="21"/>
              </w:rPr>
              <mc:AlternateContent>
                <mc:Choice Requires="wps">
                  <w:drawing>
                    <wp:anchor distT="0" distB="0" distL="114300" distR="114300" simplePos="0" relativeHeight="251659264" behindDoc="0" locked="0" layoutInCell="1" allowOverlap="1">
                      <wp:simplePos x="0" y="0"/>
                      <wp:positionH relativeFrom="column">
                        <wp:posOffset>264160</wp:posOffset>
                      </wp:positionH>
                      <wp:positionV relativeFrom="paragraph">
                        <wp:posOffset>0</wp:posOffset>
                      </wp:positionV>
                      <wp:extent cx="640715" cy="591185"/>
                      <wp:effectExtent l="3175" t="3810" r="3810" b="14605"/>
                      <wp:wrapNone/>
                      <wp:docPr id="5" name="任意多边形 5"/>
                      <wp:cNvGraphicFramePr/>
                      <a:graphic xmlns:a="http://schemas.openxmlformats.org/drawingml/2006/main">
                        <a:graphicData uri="http://schemas.microsoft.com/office/word/2010/wordprocessingShape">
                          <wps:wsp>
                            <wps:cNvSpPr/>
                            <wps:spPr bwMode="auto">
                              <a:xfrm>
                                <a:off x="0" y="0"/>
                                <a:ext cx="641350" cy="572770"/>
                              </a:xfrm>
                              <a:custGeom>
                                <a:avLst/>
                                <a:gdLst>
                                  <a:gd name="T0" fmla="*/ 0 w 1116"/>
                                  <a:gd name="T1" fmla="*/ 0 h 1122"/>
                                  <a:gd name="T2" fmla="*/ 1116 w 1116"/>
                                  <a:gd name="T3" fmla="*/ 1122 h 1122"/>
                                </a:gdLst>
                                <a:ahLst/>
                                <a:cxnLst>
                                  <a:cxn ang="0">
                                    <a:pos x="T0" y="T1"/>
                                  </a:cxn>
                                  <a:cxn ang="0">
                                    <a:pos x="T2" y="T3"/>
                                  </a:cxn>
                                </a:cxnLst>
                                <a:rect l="0" t="0" r="r" b="b"/>
                                <a:pathLst>
                                  <a:path w="1116" h="1122">
                                    <a:moveTo>
                                      <a:pt x="0" y="0"/>
                                    </a:moveTo>
                                    <a:lnTo>
                                      <a:pt x="1116" y="1122"/>
                                    </a:lnTo>
                                  </a:path>
                                </a:pathLst>
                              </a:custGeom>
                              <a:noFill/>
                              <a:ln w="9525" cmpd="sng">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0.8pt;margin-top:0pt;height:46.55pt;width:50.45pt;z-index:251659264;mso-width-relative:page;mso-height-relative:page;" filled="f" stroked="t" coordsize="1116,1122" o:gfxdata="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DuoUVR0wAAAAYBAAAPAAAA&#10;AAAAAAEAIAAAACIAAABkcnMvZG93bnJldi54bWxQSwECFAAUAAAACACHTuJAPh7xccUCAADtBQAA&#10;DgAAAAAAAAABACAAAAAiAQAAZHJzL2Uyb0RvYy54bWxQSwUGAAAAAAYABgBZAQAAWQYAAAAA&#10;" path="m0,0l1116,1122e">
                      <v:path o:connectlocs="0,0;641350,572770"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Cs w:val="21"/>
              </w:rPr>
              <w:t>内容</w:t>
            </w:r>
          </w:p>
          <w:p>
            <w:p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70485</wp:posOffset>
                      </wp:positionV>
                      <wp:extent cx="977900" cy="323850"/>
                      <wp:effectExtent l="1270" t="4445" r="11430" b="14605"/>
                      <wp:wrapNone/>
                      <wp:docPr id="8" name="任意多边形 8"/>
                      <wp:cNvGraphicFramePr/>
                      <a:graphic xmlns:a="http://schemas.openxmlformats.org/drawingml/2006/main">
                        <a:graphicData uri="http://schemas.microsoft.com/office/word/2010/wordprocessingShape">
                          <wps:wsp>
                            <wps:cNvSpPr/>
                            <wps:spPr bwMode="auto">
                              <a:xfrm>
                                <a:off x="0" y="0"/>
                                <a:ext cx="1005840" cy="333375"/>
                              </a:xfrm>
                              <a:custGeom>
                                <a:avLst/>
                                <a:gdLst>
                                  <a:gd name="T0" fmla="*/ 0 w 1899"/>
                                  <a:gd name="T1" fmla="*/ 0 h 673"/>
                                  <a:gd name="T2" fmla="*/ 1899 w 1899"/>
                                  <a:gd name="T3" fmla="*/ 673 h 673"/>
                                </a:gdLst>
                                <a:ahLst/>
                                <a:cxnLst>
                                  <a:cxn ang="0">
                                    <a:pos x="T0" y="T1"/>
                                  </a:cxn>
                                  <a:cxn ang="0">
                                    <a:pos x="T2" y="T3"/>
                                  </a:cxn>
                                </a:cxnLst>
                                <a:rect l="0" t="0" r="r" b="b"/>
                                <a:pathLst>
                                  <a:path w="1899" h="673">
                                    <a:moveTo>
                                      <a:pt x="0" y="0"/>
                                    </a:moveTo>
                                    <a:lnTo>
                                      <a:pt x="1899" y="673"/>
                                    </a:lnTo>
                                  </a:path>
                                </a:pathLst>
                              </a:custGeom>
                              <a:noFill/>
                              <a:ln w="9525" cmpd="sng">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5.2pt;margin-top:5.55pt;height:25.5pt;width:77pt;z-index:251660288;mso-width-relative:page;mso-height-relative:page;" filled="f" stroked="t" coordsize="1899,673" o:gfxdata="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J4ebKdUAAAAJAQAA&#10;DwAAAAAAAAABACAAAAAiAAAAZHJzL2Rvd25yZXYueG1sUEsBAhQAFAAAAAgAh07iQDVRAYjHAgAA&#10;6QUAAA4AAAAAAAAAAQAgAAAAJAEAAGRycy9lMm9Eb2MueG1sUEsFBgAAAAAGAAYAWQEAAF0GAAAA&#10;AA==&#10;" path="m0,0l1899,673e">
                      <v:path o:connectlocs="0,0;1005840,333375"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Cs w:val="21"/>
              </w:rPr>
              <w:t>周数</w:t>
            </w:r>
          </w:p>
          <w:p>
            <w:pPr>
              <w:rPr>
                <w:rFonts w:ascii="仿宋_GB2312" w:hAnsi="仿宋_GB2312" w:eastAsia="仿宋_GB2312" w:cs="仿宋_GB2312"/>
                <w:szCs w:val="21"/>
              </w:rPr>
            </w:pPr>
            <w:r>
              <w:rPr>
                <w:rFonts w:hint="eastAsia" w:ascii="仿宋_GB2312" w:hAnsi="仿宋_GB2312" w:eastAsia="仿宋_GB2312" w:cs="仿宋_GB2312"/>
                <w:szCs w:val="21"/>
              </w:rPr>
              <w:t>学年</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教学（含理实一体教学</w:t>
            </w:r>
          </w:p>
          <w:p>
            <w:pPr>
              <w:jc w:val="center"/>
              <w:rPr>
                <w:rFonts w:ascii="仿宋_GB2312" w:hAnsi="仿宋_GB2312" w:eastAsia="仿宋_GB2312" w:cs="仿宋_GB2312"/>
                <w:szCs w:val="21"/>
              </w:rPr>
            </w:pPr>
            <w:r>
              <w:rPr>
                <w:rFonts w:hint="eastAsia" w:ascii="仿宋_GB2312" w:hAnsi="仿宋_GB2312" w:eastAsia="仿宋_GB2312" w:cs="仿宋_GB2312"/>
                <w:szCs w:val="21"/>
              </w:rPr>
              <w:t>及专门化集中实训）</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复习考试</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机动</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假期</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全年周数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一</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二</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三</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38（其中岗位实习24周）</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52</w:t>
            </w:r>
          </w:p>
        </w:tc>
      </w:tr>
    </w:tbl>
    <w:p>
      <w:pPr>
        <w:sectPr>
          <w:footerReference r:id="rId4" w:type="default"/>
          <w:pgSz w:w="11906" w:h="16838"/>
          <w:pgMar w:top="2098" w:right="1474" w:bottom="1984" w:left="1587" w:header="851" w:footer="992" w:gutter="0"/>
          <w:pgNumType w:fmt="decimal" w:start="1"/>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1"/>
        <w:rPr>
          <w:rFonts w:hint="eastAsia" w:ascii="楷体_GB2312" w:hAnsi="楷体_GB2312" w:eastAsia="楷体_GB2312" w:cs="楷体_GB2312"/>
          <w:sz w:val="32"/>
          <w:szCs w:val="32"/>
        </w:rPr>
      </w:pPr>
      <w:bookmarkStart w:id="14" w:name="_Toc415"/>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教学进程安排表</w:t>
      </w:r>
      <w:bookmarkEnd w:id="14"/>
    </w:p>
    <w:tbl>
      <w:tblPr>
        <w:tblStyle w:val="11"/>
        <w:tblW w:w="1296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9"/>
        <w:gridCol w:w="603"/>
        <w:gridCol w:w="814"/>
        <w:gridCol w:w="2528"/>
        <w:gridCol w:w="975"/>
        <w:gridCol w:w="765"/>
        <w:gridCol w:w="765"/>
        <w:gridCol w:w="825"/>
        <w:gridCol w:w="690"/>
        <w:gridCol w:w="970"/>
        <w:gridCol w:w="705"/>
        <w:gridCol w:w="735"/>
        <w:gridCol w:w="705"/>
        <w:gridCol w:w="690"/>
        <w:gridCol w:w="6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7" w:hRule="exact"/>
          <w:tblHeader/>
          <w:jc w:val="center"/>
        </w:trPr>
        <w:tc>
          <w:tcPr>
            <w:tcW w:w="1102" w:type="dxa"/>
            <w:gridSpan w:val="2"/>
            <w:vMerge w:val="restart"/>
            <w:tcBorders>
              <w:top w:val="single" w:color="auto" w:sz="4" w:space="0"/>
              <w:left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课程</w:t>
            </w:r>
          </w:p>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类别</w:t>
            </w:r>
          </w:p>
        </w:tc>
        <w:tc>
          <w:tcPr>
            <w:tcW w:w="814"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2528" w:type="dxa"/>
            <w:vMerge w:val="restart"/>
            <w:tcBorders>
              <w:top w:val="single" w:color="auto" w:sz="4" w:space="0"/>
            </w:tcBorders>
            <w:vAlign w:val="center"/>
          </w:tcPr>
          <w:p>
            <w:pPr>
              <w:pStyle w:val="15"/>
              <w:adjustRightInd w:val="0"/>
              <w:snapToGrid w:val="0"/>
              <w:spacing w:line="240" w:lineRule="exact"/>
              <w:rPr>
                <w:rFonts w:ascii="仿宋_GB2312" w:hAnsi="仿宋_GB2312" w:eastAsia="仿宋_GB2312" w:cs="仿宋_GB2312"/>
                <w:sz w:val="21"/>
                <w:szCs w:val="21"/>
              </w:rPr>
            </w:pPr>
            <w:r>
              <w:rPr>
                <w:rFonts w:hint="eastAsia" w:ascii="仿宋_GB2312" w:hAnsi="仿宋_GB2312" w:eastAsia="仿宋_GB2312" w:cs="仿宋_GB2312"/>
                <w:sz w:val="21"/>
                <w:szCs w:val="21"/>
              </w:rPr>
              <w:t>课程名称</w:t>
            </w:r>
          </w:p>
        </w:tc>
        <w:tc>
          <w:tcPr>
            <w:tcW w:w="2505" w:type="dxa"/>
            <w:gridSpan w:val="3"/>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学时分配</w:t>
            </w:r>
          </w:p>
        </w:tc>
        <w:tc>
          <w:tcPr>
            <w:tcW w:w="825"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学分</w:t>
            </w:r>
          </w:p>
        </w:tc>
        <w:tc>
          <w:tcPr>
            <w:tcW w:w="690"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考核</w:t>
            </w:r>
          </w:p>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方式</w:t>
            </w:r>
          </w:p>
        </w:tc>
        <w:tc>
          <w:tcPr>
            <w:tcW w:w="4500" w:type="dxa"/>
            <w:gridSpan w:val="6"/>
            <w:tcBorders>
              <w:top w:val="single" w:color="auto" w:sz="4" w:space="0"/>
              <w:bottom w:val="single" w:color="auto" w:sz="4" w:space="0"/>
            </w:tcBorders>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按学年、学期教学进程安排</w:t>
            </w:r>
          </w:p>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（教学周数/周学时）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2"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2505" w:type="dxa"/>
            <w:gridSpan w:val="3"/>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1675"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第一学年</w:t>
            </w:r>
          </w:p>
        </w:tc>
        <w:tc>
          <w:tcPr>
            <w:tcW w:w="1440"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第二学年</w:t>
            </w:r>
          </w:p>
        </w:tc>
        <w:tc>
          <w:tcPr>
            <w:tcW w:w="1385"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第三学年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2"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975" w:type="dxa"/>
            <w:vMerge w:val="restart"/>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总学时</w:t>
            </w:r>
          </w:p>
        </w:tc>
        <w:tc>
          <w:tcPr>
            <w:tcW w:w="765" w:type="dxa"/>
            <w:vMerge w:val="restart"/>
            <w:vAlign w:val="center"/>
          </w:tcPr>
          <w:p>
            <w:pPr>
              <w:pStyle w:val="15"/>
              <w:adjustRightInd w:val="0"/>
              <w:snapToGrid w:val="0"/>
              <w:spacing w:line="240" w:lineRule="exact"/>
              <w:rPr>
                <w:rFonts w:ascii="仿宋_GB2312" w:hAnsi="仿宋_GB2312" w:eastAsia="仿宋_GB2312" w:cs="仿宋_GB2312"/>
                <w:sz w:val="21"/>
                <w:szCs w:val="21"/>
              </w:rPr>
            </w:pPr>
            <w:r>
              <w:rPr>
                <w:rFonts w:hint="eastAsia" w:ascii="仿宋_GB2312" w:hAnsi="仿宋_GB2312" w:eastAsia="仿宋_GB2312" w:cs="仿宋_GB2312"/>
                <w:sz w:val="21"/>
                <w:szCs w:val="21"/>
              </w:rPr>
              <w:t>理论学时</w:t>
            </w:r>
          </w:p>
        </w:tc>
        <w:tc>
          <w:tcPr>
            <w:tcW w:w="765" w:type="dxa"/>
            <w:vMerge w:val="restart"/>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实践学时</w:t>
            </w: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1675"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c>
          <w:tcPr>
            <w:tcW w:w="1440"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c>
          <w:tcPr>
            <w:tcW w:w="1385"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7"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97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970"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70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2" w:hRule="exact"/>
          <w:tblHeader/>
          <w:jc w:val="center"/>
        </w:trPr>
        <w:tc>
          <w:tcPr>
            <w:tcW w:w="1102" w:type="dxa"/>
            <w:gridSpan w:val="2"/>
            <w:vMerge w:val="continue"/>
            <w:tcBorders>
              <w:left w:val="single" w:color="auto" w:sz="4" w:space="0"/>
            </w:tcBorders>
            <w:vAlign w:val="center"/>
          </w:tcPr>
          <w:p>
            <w:pPr>
              <w:adjustRightInd w:val="0"/>
              <w:snapToGrid w:val="0"/>
              <w:jc w:val="right"/>
              <w:rPr>
                <w:rFonts w:ascii="仿宋_GB2312" w:hAnsi="仿宋_GB2312" w:eastAsia="仿宋_GB2312" w:cs="仿宋_GB2312"/>
                <w:szCs w:val="21"/>
              </w:rPr>
            </w:pPr>
          </w:p>
        </w:tc>
        <w:tc>
          <w:tcPr>
            <w:tcW w:w="814" w:type="dxa"/>
            <w:vMerge w:val="continue"/>
            <w:vAlign w:val="center"/>
          </w:tcPr>
          <w:p>
            <w:pPr>
              <w:adjustRightInd w:val="0"/>
              <w:snapToGrid w:val="0"/>
              <w:jc w:val="right"/>
              <w:rPr>
                <w:rFonts w:ascii="仿宋_GB2312" w:hAnsi="仿宋_GB2312" w:eastAsia="仿宋_GB2312" w:cs="仿宋_GB2312"/>
                <w:szCs w:val="21"/>
              </w:rPr>
            </w:pPr>
          </w:p>
        </w:tc>
        <w:tc>
          <w:tcPr>
            <w:tcW w:w="2528" w:type="dxa"/>
            <w:vMerge w:val="continue"/>
            <w:vAlign w:val="center"/>
          </w:tcPr>
          <w:p>
            <w:pPr>
              <w:adjustRightInd w:val="0"/>
              <w:snapToGrid w:val="0"/>
              <w:jc w:val="right"/>
              <w:rPr>
                <w:rFonts w:ascii="仿宋_GB2312" w:hAnsi="仿宋_GB2312" w:eastAsia="仿宋_GB2312" w:cs="仿宋_GB2312"/>
                <w:szCs w:val="21"/>
              </w:rPr>
            </w:pPr>
          </w:p>
        </w:tc>
        <w:tc>
          <w:tcPr>
            <w:tcW w:w="97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970"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0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3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0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690"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69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tcBorders>
              <w:top w:val="single" w:color="auto" w:sz="4" w:space="0"/>
            </w:tcBorders>
            <w:textDirection w:val="tbRlV"/>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公共基础课程</w:t>
            </w:r>
          </w:p>
        </w:tc>
        <w:tc>
          <w:tcPr>
            <w:tcW w:w="603" w:type="dxa"/>
            <w:vMerge w:val="restart"/>
            <w:tcBorders>
              <w:top w:val="single" w:color="auto" w:sz="4" w:space="0"/>
            </w:tcBorders>
            <w:textDirection w:val="tbRlV"/>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必修课</w:t>
            </w:r>
          </w:p>
        </w:tc>
        <w:tc>
          <w:tcPr>
            <w:tcW w:w="814"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中国特色社会主义</w:t>
            </w:r>
          </w:p>
        </w:tc>
        <w:tc>
          <w:tcPr>
            <w:tcW w:w="975"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73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70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690"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69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心理健康与职业生涯</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哲学与人生</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职业道德与法治</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语文（基础模块）</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144</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144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8</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数学（基础模块）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英语（基础模块）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信息技术</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历史（基础模块）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体育与健康（基础模块）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艺术（基础模块）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劳动教育</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8"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小计（占总课时比例24.6%）</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810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684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45</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公共基础课程</w:t>
            </w:r>
          </w:p>
        </w:tc>
        <w:tc>
          <w:tcPr>
            <w:tcW w:w="603"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限定选修课程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中职生传统文化教育</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安全教育/职业素养</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语文（职业模块）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数学（拓展模块）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英语（职业模块）</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体育与健康（拓展模块）</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90</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小计（占总课时比例8.8%）</w:t>
            </w:r>
          </w:p>
        </w:tc>
        <w:tc>
          <w:tcPr>
            <w:tcW w:w="975" w:type="dxa"/>
            <w:vAlign w:val="center"/>
          </w:tcPr>
          <w:p>
            <w:pPr>
              <w:tabs>
                <w:tab w:val="left" w:pos="327"/>
              </w:tabs>
              <w:adjustRightInd w:val="0"/>
              <w:snapToGrid w:val="0"/>
              <w:jc w:val="left"/>
              <w:rPr>
                <w:rFonts w:ascii="仿宋_GB2312" w:hAnsi="仿宋_GB2312" w:eastAsia="仿宋_GB2312" w:cs="仿宋_GB2312"/>
                <w:szCs w:val="21"/>
              </w:rPr>
            </w:pPr>
            <w:r>
              <w:rPr>
                <w:rFonts w:hint="eastAsia" w:ascii="仿宋_GB2312" w:hAnsi="仿宋_GB2312" w:eastAsia="仿宋_GB2312" w:cs="仿宋_GB2312"/>
                <w:szCs w:val="21"/>
              </w:rPr>
              <w:tab/>
            </w:r>
            <w:r>
              <w:rPr>
                <w:rFonts w:hint="eastAsia" w:ascii="仿宋_GB2312" w:hAnsi="仿宋_GB2312" w:eastAsia="仿宋_GB2312" w:cs="仿宋_GB2312"/>
                <w:szCs w:val="21"/>
              </w:rPr>
              <w:t>288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216</w:t>
            </w:r>
          </w:p>
        </w:tc>
        <w:tc>
          <w:tcPr>
            <w:tcW w:w="765" w:type="dxa"/>
            <w:vAlign w:val="center"/>
          </w:tcPr>
          <w:p>
            <w:pPr>
              <w:adjustRightInd w:val="0"/>
              <w:snapToGrid w:val="0"/>
              <w:rPr>
                <w:rFonts w:ascii="仿宋_GB2312" w:hAnsi="仿宋_GB2312" w:eastAsia="仿宋_GB2312" w:cs="仿宋_GB2312"/>
                <w:szCs w:val="21"/>
              </w:rPr>
            </w:pPr>
            <w:r>
              <w:rPr>
                <w:rFonts w:hint="eastAsia" w:ascii="仿宋_GB2312" w:hAnsi="仿宋_GB2312" w:eastAsia="仿宋_GB2312" w:cs="仿宋_GB2312"/>
                <w:szCs w:val="21"/>
              </w:rPr>
              <w:t xml:space="preserve"> 72</w:t>
            </w:r>
          </w:p>
        </w:tc>
        <w:tc>
          <w:tcPr>
            <w:tcW w:w="825" w:type="dxa"/>
            <w:vAlign w:val="center"/>
          </w:tcPr>
          <w:p>
            <w:pPr>
              <w:adjustRightInd w:val="0"/>
              <w:snapToGrid w:val="0"/>
              <w:rPr>
                <w:rFonts w:ascii="仿宋_GB2312" w:hAnsi="仿宋_GB2312" w:eastAsia="仿宋_GB2312" w:cs="仿宋_GB2312"/>
                <w:szCs w:val="21"/>
              </w:rPr>
            </w:pPr>
            <w:r>
              <w:rPr>
                <w:rFonts w:hint="eastAsia" w:ascii="仿宋_GB2312" w:hAnsi="仿宋_GB2312" w:eastAsia="仿宋_GB2312" w:cs="仿宋_GB2312"/>
                <w:szCs w:val="21"/>
              </w:rPr>
              <w:t xml:space="preserve"> 16</w:t>
            </w:r>
          </w:p>
        </w:tc>
        <w:tc>
          <w:tcPr>
            <w:tcW w:w="690" w:type="dxa"/>
            <w:vAlign w:val="center"/>
          </w:tcPr>
          <w:p>
            <w:pPr>
              <w:adjustRightInd w:val="0"/>
              <w:snapToGrid w:val="0"/>
              <w:rPr>
                <w:rFonts w:ascii="仿宋_GB2312" w:hAnsi="仿宋_GB2312" w:eastAsia="仿宋_GB2312" w:cs="仿宋_GB2312"/>
                <w:szCs w:val="21"/>
              </w:rPr>
            </w:pPr>
          </w:p>
        </w:tc>
        <w:tc>
          <w:tcPr>
            <w:tcW w:w="4500" w:type="dxa"/>
            <w:gridSpan w:val="6"/>
            <w:vAlign w:val="center"/>
          </w:tcPr>
          <w:p>
            <w:pPr>
              <w:adjustRightInd w:val="0"/>
              <w:snapToGrid w:val="0"/>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专业（技能）课程</w:t>
            </w:r>
          </w:p>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603" w:type="dxa"/>
            <w:vMerge w:val="restart"/>
            <w:textDirection w:val="tbRlV"/>
            <w:vAlign w:val="center"/>
          </w:tcPr>
          <w:p>
            <w:pPr>
              <w:snapToGrid w:val="0"/>
              <w:ind w:left="113" w:right="113"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专业基础课程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素描</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色彩基础</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3</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构成基础</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right"/>
              <w:rPr>
                <w:rFonts w:hint="default" w:ascii="仿宋_GB2312" w:hAnsi="仿宋_GB2312" w:eastAsia="仿宋_GB2312" w:cs="仿宋_GB2312"/>
                <w:szCs w:val="21"/>
                <w:u w:val="single"/>
                <w:lang w:val="en-US" w:eastAsia="zh-CN"/>
              </w:rPr>
            </w:pPr>
            <w:r>
              <w:rPr>
                <w:rFonts w:hint="eastAsia" w:ascii="仿宋_GB2312" w:hAnsi="仿宋_GB2312" w:eastAsia="仿宋_GB2312" w:cs="仿宋_GB2312"/>
                <w:szCs w:val="21"/>
                <w:lang w:val="en-US" w:eastAsia="zh-CN"/>
              </w:rPr>
              <w:t>平面设计软件应用</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公关礼仪</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3</w:t>
            </w:r>
          </w:p>
        </w:tc>
        <w:tc>
          <w:tcPr>
            <w:tcW w:w="705" w:type="dxa"/>
            <w:vAlign w:val="center"/>
          </w:tcPr>
          <w:p>
            <w:pP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美容美发企业管理基础</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办公软件应用</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70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7"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pacing w:val="-10"/>
                <w:szCs w:val="21"/>
              </w:rPr>
            </w:pPr>
            <w:r>
              <w:rPr>
                <w:rFonts w:hint="eastAsia" w:ascii="仿宋_GB2312" w:hAnsi="仿宋_GB2312" w:eastAsia="仿宋_GB2312" w:cs="仿宋_GB2312"/>
                <w:szCs w:val="21"/>
              </w:rPr>
              <w:t>小计（占总课时比例13 %）</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432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432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专业核心课程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美发与造型</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4</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基础化妆</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奇幻造型</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整体搭配</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美容美体</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市场营销学</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w:t>
            </w: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美甲造型</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126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126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1"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 16.4 %）</w:t>
            </w:r>
          </w:p>
        </w:tc>
        <w:tc>
          <w:tcPr>
            <w:tcW w:w="975" w:type="dxa"/>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540</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540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专业拓展课程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widowControl/>
              <w:jc w:val="center"/>
              <w:textAlignment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影视及戏剧化妆</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widowControl/>
              <w:jc w:val="center"/>
              <w:textAlignment w:val="center"/>
              <w:rPr>
                <w:rFonts w:hint="default" w:ascii="仿宋_GB2312" w:hAnsi="仿宋_GB2312" w:eastAsia="仿宋_GB2312" w:cs="仿宋_GB2312"/>
                <w:szCs w:val="21"/>
                <w:lang w:val="en-US" w:eastAsia="zh-CN"/>
              </w:rPr>
            </w:pPr>
            <w:r>
              <w:rPr>
                <w:rFonts w:hint="eastAsia" w:ascii="仿宋_GB2312" w:hAnsi="宋体" w:eastAsia="仿宋_GB2312" w:cs="仿宋_GB2312"/>
                <w:color w:val="000000"/>
                <w:kern w:val="0"/>
                <w:szCs w:val="21"/>
                <w:lang w:val="en-US" w:eastAsia="zh-CN" w:bidi="ar"/>
              </w:rPr>
              <w:t>人体解剖知识</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widowControl/>
              <w:jc w:val="center"/>
              <w:textAlignment w:val="center"/>
              <w:rPr>
                <w:rFonts w:hint="default" w:ascii="仿宋_GB2312" w:hAnsi="仿宋_GB2312" w:eastAsia="仿宋_GB2312" w:cs="仿宋_GB2312"/>
                <w:szCs w:val="21"/>
                <w:lang w:val="en-US" w:eastAsia="zh-CN"/>
              </w:rPr>
            </w:pPr>
            <w:r>
              <w:rPr>
                <w:rFonts w:hint="eastAsia" w:ascii="仿宋_GB2312" w:hAnsi="宋体" w:eastAsia="仿宋_GB2312" w:cs="仿宋_GB2312"/>
                <w:color w:val="000000"/>
                <w:kern w:val="0"/>
                <w:szCs w:val="21"/>
                <w:lang w:val="en-US" w:eastAsia="zh-CN" w:bidi="ar"/>
              </w:rPr>
              <w:t>服饰与造型.</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3"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 3.3%）</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108 </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restart"/>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实习实训</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认识实习</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1/2周</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形象</w:t>
            </w:r>
            <w:r>
              <w:rPr>
                <w:rFonts w:hint="eastAsia" w:ascii="仿宋_GB2312" w:hAnsi="仿宋_GB2312" w:eastAsia="仿宋_GB2312" w:cs="仿宋_GB2312"/>
                <w:szCs w:val="21"/>
              </w:rPr>
              <w:t>设计综合实训</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美甲美体</w:t>
            </w:r>
            <w:r>
              <w:rPr>
                <w:rFonts w:hint="eastAsia" w:ascii="仿宋_GB2312" w:hAnsi="仿宋_GB2312" w:eastAsia="仿宋_GB2312" w:cs="仿宋_GB2312"/>
                <w:szCs w:val="21"/>
              </w:rPr>
              <w:t>综合实训</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岗位实习</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40</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4周</w:t>
            </w:r>
          </w:p>
        </w:tc>
        <w:tc>
          <w:tcPr>
            <w:tcW w:w="69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20周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widowControl/>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小计（占总课时比例32.6%）</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1071</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1071</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59</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102" w:type="dxa"/>
            <w:gridSpan w:val="2"/>
            <w:vMerge w:val="restart"/>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其他</w:t>
            </w:r>
          </w:p>
        </w:tc>
        <w:tc>
          <w:tcPr>
            <w:tcW w:w="814" w:type="dxa"/>
            <w:vAlign w:val="center"/>
          </w:tcPr>
          <w:p>
            <w:pPr>
              <w:widowControl/>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w:t>
            </w:r>
          </w:p>
        </w:tc>
        <w:tc>
          <w:tcPr>
            <w:tcW w:w="2528" w:type="dxa"/>
            <w:vAlign w:val="center"/>
          </w:tcPr>
          <w:p>
            <w:pPr>
              <w:widowControl/>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入学教育与军训</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1周</w:t>
            </w: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102" w:type="dxa"/>
            <w:gridSpan w:val="2"/>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2</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毕业教育</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3" w:hRule="exact"/>
          <w:jc w:val="center"/>
        </w:trPr>
        <w:tc>
          <w:tcPr>
            <w:tcW w:w="1102" w:type="dxa"/>
            <w:gridSpan w:val="2"/>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小计（占总课时比例1.8%）</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60 </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444" w:type="dxa"/>
            <w:gridSpan w:val="4"/>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周学时及学分合计</w:t>
            </w:r>
          </w:p>
        </w:tc>
        <w:tc>
          <w:tcPr>
            <w:tcW w:w="97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3278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65" w:type="dxa"/>
            <w:vAlign w:val="center"/>
          </w:tcPr>
          <w:p>
            <w:pPr>
              <w:adjustRightInd w:val="0"/>
              <w:snapToGrid w:val="0"/>
              <w:jc w:val="center"/>
              <w:rPr>
                <w:rFonts w:ascii="仿宋_GB2312" w:hAnsi="仿宋_GB2312" w:eastAsia="仿宋_GB2312" w:cs="仿宋_GB2312"/>
                <w:szCs w:val="21"/>
              </w:rPr>
            </w:pP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185</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444" w:type="dxa"/>
            <w:gridSpan w:val="4"/>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总学时</w:t>
            </w:r>
          </w:p>
        </w:tc>
        <w:tc>
          <w:tcPr>
            <w:tcW w:w="8520" w:type="dxa"/>
            <w:gridSpan w:val="11"/>
            <w:vAlign w:val="center"/>
          </w:tcPr>
          <w:p>
            <w:pPr>
              <w:adjustRightInd w:val="0"/>
              <w:snapToGrid w:val="0"/>
              <w:jc w:val="center"/>
              <w:rPr>
                <w:rFonts w:ascii="仿宋_GB2312" w:hAnsi="仿宋_GB2312" w:eastAsia="仿宋_GB2312" w:cs="仿宋_GB2312"/>
                <w:szCs w:val="21"/>
              </w:rPr>
            </w:pPr>
          </w:p>
        </w:tc>
      </w:tr>
    </w:tbl>
    <w:p>
      <w:pPr>
        <w:sectPr>
          <w:pgSz w:w="16838" w:h="11906" w:orient="landscape"/>
          <w:pgMar w:top="1800" w:right="1440" w:bottom="1800" w:left="1440" w:header="851" w:footer="992" w:gutter="0"/>
          <w:pgNumType w:fmt="decimal"/>
          <w:cols w:space="425" w:num="1"/>
          <w:docGrid w:type="lines" w:linePitch="312" w:charSpace="0"/>
        </w:sectPr>
      </w:pPr>
    </w:p>
    <w:p>
      <w:pPr>
        <w:keepNext w:val="0"/>
        <w:keepLines w:val="0"/>
        <w:pageBreakBefore w:val="0"/>
        <w:widowControl/>
        <w:shd w:val="clear" w:color="auto" w:fill="FFFFFF"/>
        <w:kinsoku/>
        <w:wordWrap/>
        <w:overflowPunct/>
        <w:topLinePunct w:val="0"/>
        <w:bidi w:val="0"/>
        <w:snapToGrid/>
        <w:spacing w:line="560" w:lineRule="exact"/>
        <w:ind w:left="0" w:firstLine="640" w:firstLineChars="200"/>
        <w:jc w:val="left"/>
        <w:textAlignment w:val="auto"/>
        <w:outlineLvl w:val="0"/>
        <w:rPr>
          <w:rFonts w:ascii="黑体" w:hAnsi="黑体" w:eastAsia="黑体" w:cs="黑体"/>
          <w:sz w:val="32"/>
          <w:szCs w:val="32"/>
        </w:rPr>
      </w:pPr>
      <w:bookmarkStart w:id="15" w:name="_Toc8063"/>
      <w:r>
        <w:rPr>
          <w:rFonts w:hint="eastAsia" w:ascii="黑体" w:hAnsi="黑体" w:eastAsia="黑体" w:cs="黑体"/>
          <w:kern w:val="0"/>
          <w:sz w:val="32"/>
          <w:szCs w:val="32"/>
          <w:shd w:val="clear" w:color="auto" w:fill="FFFFFF"/>
          <w:lang w:val="en-US" w:eastAsia="zh-CN" w:bidi="ar"/>
        </w:rPr>
        <w:t>八</w:t>
      </w:r>
      <w:r>
        <w:rPr>
          <w:rFonts w:hint="eastAsia" w:ascii="黑体" w:hAnsi="黑体" w:eastAsia="黑体" w:cs="黑体"/>
          <w:kern w:val="0"/>
          <w:sz w:val="32"/>
          <w:szCs w:val="32"/>
          <w:shd w:val="clear" w:color="auto" w:fill="FFFFFF"/>
          <w:lang w:bidi="ar"/>
        </w:rPr>
        <w:t>、实施保障</w:t>
      </w:r>
      <w:bookmarkEnd w:id="15"/>
    </w:p>
    <w:p>
      <w:pPr>
        <w:keepNext w:val="0"/>
        <w:keepLines w:val="0"/>
        <w:pageBreakBefore w:val="0"/>
        <w:numPr>
          <w:ilvl w:val="0"/>
          <w:numId w:val="0"/>
        </w:numPr>
        <w:kinsoku/>
        <w:wordWrap/>
        <w:overflowPunct/>
        <w:topLinePunct w:val="0"/>
        <w:bidi w:val="0"/>
        <w:adjustRightInd w:val="0"/>
        <w:snapToGrid/>
        <w:spacing w:line="560" w:lineRule="exact"/>
        <w:ind w:left="0" w:leftChars="0" w:firstLine="640" w:firstLineChars="200"/>
        <w:textAlignment w:val="auto"/>
        <w:outlineLvl w:val="1"/>
        <w:rPr>
          <w:rFonts w:hint="eastAsia" w:ascii="楷体_GB2312" w:hAnsi="楷体_GB2312" w:eastAsia="楷体_GB2312" w:cs="楷体_GB2312"/>
          <w:sz w:val="32"/>
          <w:szCs w:val="32"/>
        </w:rPr>
      </w:pPr>
      <w:bookmarkStart w:id="16" w:name="_Toc31905"/>
      <w:r>
        <w:rPr>
          <w:rFonts w:hint="eastAsia" w:ascii="楷体_GB2312" w:hAnsi="楷体_GB2312" w:eastAsia="楷体_GB2312" w:cs="楷体_GB2312"/>
          <w:kern w:val="2"/>
          <w:sz w:val="32"/>
          <w:szCs w:val="32"/>
          <w:lang w:val="en-US" w:eastAsia="zh-CN" w:bidi="ar-SA"/>
        </w:rPr>
        <w:t>（一）</w:t>
      </w:r>
      <w:r>
        <w:rPr>
          <w:rFonts w:hint="eastAsia" w:ascii="楷体_GB2312" w:hAnsi="楷体_GB2312" w:eastAsia="楷体_GB2312" w:cs="楷体_GB2312"/>
          <w:sz w:val="32"/>
          <w:szCs w:val="32"/>
        </w:rPr>
        <w:t>师资队伍</w:t>
      </w:r>
      <w:bookmarkEnd w:id="16"/>
    </w:p>
    <w:p>
      <w:pPr>
        <w:keepNext w:val="0"/>
        <w:keepLines w:val="0"/>
        <w:pageBreakBefore w:val="0"/>
        <w:kinsoku/>
        <w:wordWrap/>
        <w:overflowPunct/>
        <w:topLinePunct w:val="0"/>
        <w:bidi w:val="0"/>
        <w:adjustRightInd w:val="0"/>
        <w:snapToGrid/>
        <w:spacing w:line="560" w:lineRule="exact"/>
        <w:ind w:lef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1.队伍结构</w:t>
      </w:r>
    </w:p>
    <w:p>
      <w:pPr>
        <w:keepNext w:val="0"/>
        <w:keepLines w:val="0"/>
        <w:pageBreakBefore w:val="0"/>
        <w:kinsoku/>
        <w:wordWrap/>
        <w:overflowPunct/>
        <w:topLinePunct w:val="0"/>
        <w:bidi w:val="0"/>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专业师资要符合教育部《中等职业学校教师专业标准》《中等职业学校设置标准》和《山东省中等职业学校专业建设标准》中对教师数量、结构和素质的基本要求。</w:t>
      </w:r>
    </w:p>
    <w:p>
      <w:pPr>
        <w:keepNext w:val="0"/>
        <w:keepLines w:val="0"/>
        <w:pageBreakBefore w:val="0"/>
        <w:kinsoku/>
        <w:wordWrap/>
        <w:overflowPunct/>
        <w:topLinePunct w:val="0"/>
        <w:bidi w:val="0"/>
        <w:snapToGrid/>
        <w:spacing w:line="560" w:lineRule="exact"/>
        <w:ind w:left="0" w:firstLine="640" w:firstLineChars="200"/>
        <w:textAlignment w:val="auto"/>
        <w:outlineLvl w:val="9"/>
        <w:rPr>
          <w:rFonts w:hint="eastAsia" w:ascii="仿宋_GB2312" w:hAnsi="仿宋_GB2312" w:eastAsia="仿宋_GB2312" w:cs="仿宋_GB2312"/>
          <w:sz w:val="32"/>
          <w:szCs w:val="32"/>
        </w:rPr>
      </w:pPr>
      <w:bookmarkStart w:id="17" w:name="_Toc30547"/>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.专业教师数量及结构要求</w:t>
      </w:r>
      <w:bookmarkEnd w:id="17"/>
    </w:p>
    <w:p>
      <w:pPr>
        <w:keepNext w:val="0"/>
        <w:keepLines w:val="0"/>
        <w:pageBreakBefore w:val="0"/>
        <w:kinsoku/>
        <w:wordWrap/>
        <w:overflowPunct/>
        <w:topLinePunct w:val="0"/>
        <w:bidi w:val="0"/>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美发与形象设计专业</w:t>
      </w:r>
      <w:r>
        <w:rPr>
          <w:rFonts w:hint="eastAsia" w:ascii="仿宋_GB2312" w:hAnsi="仿宋_GB2312" w:eastAsia="仿宋_GB2312" w:cs="仿宋_GB2312"/>
          <w:sz w:val="32"/>
          <w:szCs w:val="32"/>
        </w:rPr>
        <w:t>“双师型”专任教师数11人，该专业专业课专任教师总数23人，双师型教师占比为47%。</w:t>
      </w:r>
    </w:p>
    <w:p>
      <w:pPr>
        <w:keepNext w:val="0"/>
        <w:keepLines w:val="0"/>
        <w:pageBreakBefore w:val="0"/>
        <w:kinsoku/>
        <w:wordWrap/>
        <w:overflowPunct/>
        <w:topLinePunct w:val="0"/>
        <w:autoSpaceDE w:val="0"/>
        <w:autoSpaceDN w:val="0"/>
        <w:bidi w:val="0"/>
        <w:adjustRightInd w:val="0"/>
        <w:snapToGrid/>
        <w:spacing w:line="560" w:lineRule="exact"/>
        <w:ind w:left="0" w:firstLine="640" w:firstLineChars="200"/>
        <w:textAlignment w:val="auto"/>
        <w:outlineLvl w:val="9"/>
        <w:rPr>
          <w:rFonts w:hint="eastAsia" w:ascii="仿宋_GB2312" w:hAnsi="仿宋_GB2312" w:eastAsia="仿宋_GB2312" w:cs="仿宋_GB2312"/>
          <w:sz w:val="32"/>
          <w:szCs w:val="32"/>
        </w:rPr>
      </w:pPr>
      <w:bookmarkStart w:id="18" w:name="_Toc5766"/>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.专业带头人</w:t>
      </w:r>
      <w:bookmarkEnd w:id="18"/>
    </w:p>
    <w:p>
      <w:pPr>
        <w:keepNext w:val="0"/>
        <w:keepLines w:val="0"/>
        <w:pageBreakBefore w:val="0"/>
        <w:kinsoku/>
        <w:wordWrap/>
        <w:overflowPunct/>
        <w:topLinePunct w:val="0"/>
        <w:bidi w:val="0"/>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专业团队带头人业务水平高，应具有本专业及相关专业大学本科以上学历</w:t>
      </w:r>
      <w:r>
        <w:rPr>
          <w:rFonts w:hint="eastAsia" w:ascii="仿宋_GB2312" w:hAnsi="仿宋_GB2312" w:eastAsia="仿宋_GB2312" w:cs="仿宋_GB2312"/>
          <w:sz w:val="32"/>
          <w:szCs w:val="32"/>
          <w:lang w:val="en-US" w:eastAsia="zh-CN"/>
        </w:rPr>
        <w:t>具有</w:t>
      </w:r>
      <w:r>
        <w:rPr>
          <w:rFonts w:hint="eastAsia" w:ascii="仿宋_GB2312" w:hAnsi="仿宋_GB2312" w:eastAsia="仿宋_GB2312" w:cs="仿宋_GB2312"/>
          <w:sz w:val="32"/>
          <w:szCs w:val="32"/>
        </w:rPr>
        <w:t>较强的实践能力，能广泛联系行业企业，了解国内外</w:t>
      </w:r>
      <w:r>
        <w:rPr>
          <w:rFonts w:hint="eastAsia" w:ascii="仿宋_GB2312" w:hAnsi="仿宋_GB2312" w:eastAsia="仿宋_GB2312" w:cs="仿宋_GB2312"/>
          <w:sz w:val="32"/>
          <w:szCs w:val="32"/>
          <w:lang w:val="en-US" w:eastAsia="zh-CN"/>
        </w:rPr>
        <w:t>美发与形象设计</w:t>
      </w:r>
      <w:r>
        <w:rPr>
          <w:rFonts w:hint="eastAsia" w:ascii="仿宋_GB2312" w:hAnsi="仿宋_GB2312" w:eastAsia="仿宋_GB2312" w:cs="仿宋_GB2312"/>
          <w:sz w:val="32"/>
          <w:szCs w:val="32"/>
        </w:rPr>
        <w:t>行业发展新趋势，准确掌握行业企业用人需求，具有组织开展专业建设、课程开发、教科研工作和企业服务能力，在本专业教学改革发展中起到引领示范作用。</w:t>
      </w:r>
    </w:p>
    <w:p>
      <w:pPr>
        <w:keepNext w:val="0"/>
        <w:keepLines w:val="0"/>
        <w:pageBreakBefore w:val="0"/>
        <w:kinsoku/>
        <w:wordWrap/>
        <w:overflowPunct/>
        <w:topLinePunct w:val="0"/>
        <w:autoSpaceDE w:val="0"/>
        <w:autoSpaceDN w:val="0"/>
        <w:bidi w:val="0"/>
        <w:adjustRightInd w:val="0"/>
        <w:snapToGrid/>
        <w:spacing w:line="560" w:lineRule="exact"/>
        <w:ind w:left="0" w:firstLine="640" w:firstLineChars="200"/>
        <w:textAlignment w:val="auto"/>
        <w:outlineLvl w:val="9"/>
        <w:rPr>
          <w:rFonts w:hint="eastAsia" w:ascii="仿宋_GB2312" w:hAnsi="仿宋_GB2312" w:eastAsia="仿宋_GB2312" w:cs="仿宋_GB2312"/>
          <w:sz w:val="32"/>
          <w:szCs w:val="32"/>
        </w:rPr>
      </w:pPr>
      <w:bookmarkStart w:id="19" w:name="_Toc27321"/>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.专任教师</w:t>
      </w:r>
      <w:bookmarkEnd w:id="19"/>
    </w:p>
    <w:p>
      <w:pPr>
        <w:keepNext w:val="0"/>
        <w:keepLines w:val="0"/>
        <w:pageBreakBefore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四有好老师”的标准和要求建设专业教师队伍，将师德师风作为教师队伍建设的第一标准。专任教师应具备相关专业本科以上学历，中级及以上职业资格证书，具有课程开发与实施能力、能胜任项目教学、模块化理论实践一体化教学，课程和技能实训教学目标达成度高，具有较高的数字素养，能熟练应用信息化手段教学和课程思政教学设计的能力。</w:t>
      </w:r>
    </w:p>
    <w:p>
      <w:pPr>
        <w:keepNext w:val="0"/>
        <w:keepLines w:val="0"/>
        <w:pageBreakBefore w:val="0"/>
        <w:kinsoku/>
        <w:wordWrap/>
        <w:overflowPunct/>
        <w:topLinePunct w:val="0"/>
        <w:autoSpaceDE w:val="0"/>
        <w:autoSpaceDN w:val="0"/>
        <w:bidi w:val="0"/>
        <w:adjustRightInd w:val="0"/>
        <w:snapToGrid/>
        <w:spacing w:line="560" w:lineRule="exact"/>
        <w:ind w:left="0" w:firstLine="640" w:firstLineChars="200"/>
        <w:textAlignment w:val="auto"/>
        <w:outlineLvl w:val="9"/>
        <w:rPr>
          <w:rFonts w:hint="eastAsia" w:ascii="仿宋_GB2312" w:hAnsi="仿宋_GB2312" w:eastAsia="仿宋_GB2312" w:cs="仿宋_GB2312"/>
          <w:sz w:val="32"/>
          <w:szCs w:val="32"/>
        </w:rPr>
      </w:pPr>
      <w:bookmarkStart w:id="20" w:name="_Toc12268"/>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.兼职教师</w:t>
      </w:r>
      <w:bookmarkEnd w:id="20"/>
    </w:p>
    <w:p>
      <w:pPr>
        <w:keepNext w:val="0"/>
        <w:keepLines w:val="0"/>
        <w:pageBreakBefore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主要从本专业相关行业企业聘任，要求具有良好的思想政治素质、职业道德和工匠精神；具有扎实的专业知识和丰富实践经验，能承担《素描》、《色彩》、《构成基础》、《</w:t>
      </w:r>
      <w:r>
        <w:rPr>
          <w:rFonts w:hint="eastAsia" w:ascii="仿宋_GB2312" w:hAnsi="仿宋_GB2312" w:eastAsia="仿宋_GB2312" w:cs="仿宋_GB2312"/>
          <w:sz w:val="32"/>
          <w:szCs w:val="32"/>
          <w:lang w:val="en-US" w:eastAsia="zh-CN"/>
        </w:rPr>
        <w:t>美发与造型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基础化妆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美甲造型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美容美体</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奇幻造型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公关礼仪</w:t>
      </w:r>
      <w:r>
        <w:rPr>
          <w:rFonts w:hint="eastAsia" w:ascii="仿宋_GB2312" w:hAnsi="仿宋_GB2312" w:eastAsia="仿宋_GB2312" w:cs="仿宋_GB2312"/>
          <w:sz w:val="32"/>
          <w:szCs w:val="32"/>
        </w:rPr>
        <w:t>》等专业技能课程教学，胜任</w:t>
      </w:r>
      <w:r>
        <w:rPr>
          <w:rFonts w:hint="eastAsia" w:ascii="仿宋_GB2312" w:hAnsi="仿宋_GB2312" w:eastAsia="仿宋_GB2312" w:cs="仿宋_GB2312"/>
          <w:sz w:val="32"/>
          <w:szCs w:val="32"/>
          <w:lang w:val="en-US" w:eastAsia="zh-CN"/>
        </w:rPr>
        <w:t>化妆</w:t>
      </w:r>
      <w:r>
        <w:rPr>
          <w:rFonts w:hint="eastAsia" w:ascii="仿宋_GB2312" w:hAnsi="仿宋_GB2312" w:eastAsia="仿宋_GB2312" w:cs="仿宋_GB2312"/>
          <w:sz w:val="32"/>
          <w:szCs w:val="32"/>
        </w:rPr>
        <w:t>师助理、</w:t>
      </w:r>
      <w:r>
        <w:rPr>
          <w:rFonts w:hint="eastAsia" w:ascii="仿宋_GB2312" w:hAnsi="仿宋_GB2312" w:eastAsia="仿宋_GB2312" w:cs="仿宋_GB2312"/>
          <w:sz w:val="32"/>
          <w:szCs w:val="32"/>
          <w:lang w:val="en-US" w:eastAsia="zh-CN"/>
        </w:rPr>
        <w:t>形象设计</w:t>
      </w:r>
      <w:r>
        <w:rPr>
          <w:rFonts w:hint="eastAsia" w:ascii="仿宋_GB2312" w:hAnsi="仿宋_GB2312" w:eastAsia="仿宋_GB2312" w:cs="仿宋_GB2312"/>
          <w:sz w:val="32"/>
          <w:szCs w:val="32"/>
        </w:rPr>
        <w:t>师、</w:t>
      </w:r>
      <w:r>
        <w:rPr>
          <w:rFonts w:hint="eastAsia" w:ascii="仿宋_GB2312" w:hAnsi="仿宋_GB2312" w:eastAsia="仿宋_GB2312" w:cs="仿宋_GB2312"/>
          <w:sz w:val="32"/>
          <w:szCs w:val="32"/>
          <w:lang w:val="en-US" w:eastAsia="zh-CN"/>
        </w:rPr>
        <w:t>美甲师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造型师</w:t>
      </w:r>
      <w:r>
        <w:rPr>
          <w:rFonts w:hint="eastAsia" w:ascii="仿宋_GB2312" w:hAnsi="仿宋_GB2312" w:eastAsia="仿宋_GB2312" w:cs="仿宋_GB2312"/>
          <w:sz w:val="32"/>
          <w:szCs w:val="32"/>
        </w:rPr>
        <w:t>等岗位的实习实训指导和学生职业发展规划指导等任务。</w:t>
      </w:r>
    </w:p>
    <w:p>
      <w:pPr>
        <w:keepNext w:val="0"/>
        <w:keepLines w:val="0"/>
        <w:pageBreakBefore w:val="0"/>
        <w:kinsoku/>
        <w:wordWrap/>
        <w:overflowPunct/>
        <w:topLinePunct w:val="0"/>
        <w:bidi w:val="0"/>
        <w:spacing w:line="560" w:lineRule="exact"/>
        <w:ind w:left="0" w:leftChars="0" w:firstLine="640" w:firstLineChars="200"/>
        <w:outlineLvl w:val="1"/>
        <w:rPr>
          <w:rFonts w:hint="eastAsia" w:ascii="楷体_GB2312" w:hAnsi="楷体_GB2312" w:eastAsia="楷体_GB2312" w:cs="楷体_GB2312"/>
          <w:sz w:val="32"/>
          <w:szCs w:val="32"/>
        </w:rPr>
      </w:pPr>
      <w:bookmarkStart w:id="21" w:name="_Toc30036"/>
      <w:r>
        <w:rPr>
          <w:rFonts w:hint="eastAsia" w:ascii="楷体_GB2312" w:hAnsi="楷体_GB2312" w:eastAsia="楷体_GB2312" w:cs="楷体_GB2312"/>
          <w:sz w:val="32"/>
          <w:szCs w:val="32"/>
        </w:rPr>
        <w:t>（三）教学资源</w:t>
      </w:r>
      <w:bookmarkEnd w:id="21"/>
    </w:p>
    <w:p>
      <w:pPr>
        <w:keepNext w:val="0"/>
        <w:keepLines w:val="0"/>
        <w:pageBreakBefore w:val="0"/>
        <w:kinsoku/>
        <w:wordWrap/>
        <w:overflowPunct/>
        <w:topLinePunct w:val="0"/>
        <w:bidi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主要包括能满足学生专业学习、教师专业教学研究和教学实施需要的教材、图书和数字资源等。</w:t>
      </w:r>
    </w:p>
    <w:p>
      <w:pPr>
        <w:keepNext w:val="0"/>
        <w:keepLines w:val="0"/>
        <w:pageBreakBefore w:val="0"/>
        <w:kinsoku/>
        <w:wordWrap/>
        <w:overflowPunct/>
        <w:topLinePunct w:val="0"/>
        <w:bidi w:val="0"/>
        <w:spacing w:line="560" w:lineRule="exact"/>
        <w:ind w:left="0" w:leftChars="0" w:firstLine="640" w:firstLineChars="200"/>
        <w:outlineLvl w:val="9"/>
        <w:rPr>
          <w:rFonts w:hint="eastAsia" w:ascii="仿宋_GB2312" w:hAnsi="仿宋_GB2312" w:eastAsia="仿宋_GB2312" w:cs="仿宋_GB2312"/>
          <w:sz w:val="32"/>
          <w:szCs w:val="32"/>
        </w:rPr>
      </w:pPr>
      <w:bookmarkStart w:id="22" w:name="_Toc19558"/>
      <w:bookmarkStart w:id="23" w:name="_Toc19532"/>
      <w:r>
        <w:rPr>
          <w:rFonts w:hint="eastAsia" w:ascii="仿宋_GB2312" w:hAnsi="仿宋_GB2312" w:eastAsia="仿宋_GB2312" w:cs="仿宋_GB2312"/>
          <w:sz w:val="32"/>
          <w:szCs w:val="32"/>
        </w:rPr>
        <w:t>1.教材选用要求</w:t>
      </w:r>
      <w:bookmarkEnd w:id="22"/>
      <w:bookmarkEnd w:id="23"/>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建立由专业教师、行业企业专家和教研人员等参与的教材选用机制，完善教材选用、公示和备案制度。按照规范程序选用教材，公共基础课程统一使用国家规划，专业（技能）课程教材按要求选用国家规划教材和省（市）推荐教材。</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bookmarkStart w:id="24" w:name="_Toc21851"/>
      <w:bookmarkStart w:id="25" w:name="_Toc27490"/>
      <w:r>
        <w:rPr>
          <w:rFonts w:hint="eastAsia" w:ascii="仿宋_GB2312" w:hAnsi="仿宋_GB2312" w:eastAsia="仿宋_GB2312" w:cs="仿宋_GB2312"/>
          <w:sz w:val="32"/>
          <w:szCs w:val="32"/>
        </w:rPr>
        <w:t>2.图书资料配备要求</w:t>
      </w:r>
      <w:bookmarkEnd w:id="24"/>
      <w:bookmarkEnd w:id="25"/>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本专业相关图书文献配备应能满足人才培养、专业建设、教科研等工作需要，方便师生查询、借阅，且定期更新。主要包括有关《素描》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化妆基础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美甲造型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美发与造型》、《艺术学基础知识》、《形象设计》、《服饰搭配》、《形象设计概论》、《美容师》、《美容基础》、《影视舞台造型》、《特效化妆》、《人像摄影后期技术专业教程》、《水彩画技法从入门到精通》</w:t>
      </w:r>
      <w:r>
        <w:rPr>
          <w:rFonts w:hint="eastAsia" w:ascii="仿宋_GB2312" w:hAnsi="仿宋_GB2312" w:eastAsia="仿宋_GB2312" w:cs="仿宋_GB2312"/>
          <w:sz w:val="32"/>
          <w:szCs w:val="32"/>
        </w:rPr>
        <w:t>等技术类和案例类图书。</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bookmarkStart w:id="26" w:name="_Toc14555"/>
      <w:bookmarkStart w:id="27" w:name="_Toc5686"/>
      <w:r>
        <w:rPr>
          <w:rFonts w:hint="eastAsia" w:ascii="仿宋_GB2312" w:hAnsi="仿宋_GB2312" w:eastAsia="仿宋_GB2312" w:cs="仿宋_GB2312"/>
          <w:sz w:val="32"/>
          <w:szCs w:val="32"/>
        </w:rPr>
        <w:t>3.数字资源配置要求</w:t>
      </w:r>
      <w:bookmarkEnd w:id="26"/>
      <w:bookmarkEnd w:id="27"/>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成立教学资源与信息化建设领导小组，将专业教学目标、专业教学标准、专业优质核心课程体系、实验实训指导、学习评价等整合处理，通过校园网络等实现课程资源网络化、信息化，建立具有四个功能、三大服务的共享型教学资源库。</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推行“模块教学”、“情境教学”、“仿真教学”等教学模式改革。优化创新教学内容，提高信息化教学水平，广泛采用多媒体辅助教学手段，推动专业应用软件在教学中的应用，建设优质教材和特色学习资料，建设跨越围墙、跨越课堂、跨越时间的新型数字化立体教学资源库，按照一体化教学、一体化评价的要求，整合相关教学资源建立电子教案库、实训案例库、教学录像、相关图片、实物模型、试题库等组成</w:t>
      </w:r>
      <w:r>
        <w:rPr>
          <w:rFonts w:hint="eastAsia" w:ascii="仿宋_GB2312" w:hAnsi="仿宋_GB2312" w:eastAsia="仿宋_GB2312" w:cs="仿宋_GB2312"/>
          <w:sz w:val="32"/>
          <w:szCs w:val="32"/>
          <w:lang w:val="en-US" w:eastAsia="zh-CN"/>
        </w:rPr>
        <w:t>美发与形象设计</w:t>
      </w:r>
      <w:r>
        <w:rPr>
          <w:rFonts w:hint="eastAsia" w:ascii="仿宋_GB2312" w:hAnsi="仿宋_GB2312" w:eastAsia="仿宋_GB2312" w:cs="仿宋_GB2312"/>
          <w:sz w:val="32"/>
          <w:szCs w:val="32"/>
        </w:rPr>
        <w:t>专业的教学资源库，将多媒体技术最大可能的植入专业教学活动之中，利用教学软件、教学课件、多媒体教学平台、试题库、课程录像等多种媒体形式组成的</w:t>
      </w:r>
      <w:r>
        <w:rPr>
          <w:rFonts w:hint="eastAsia" w:ascii="仿宋_GB2312" w:hAnsi="仿宋_GB2312" w:eastAsia="仿宋_GB2312" w:cs="仿宋_GB2312"/>
          <w:sz w:val="32"/>
          <w:szCs w:val="32"/>
          <w:lang w:val="en-US" w:eastAsia="zh-CN"/>
        </w:rPr>
        <w:t>美发与形象设计</w:t>
      </w:r>
      <w:r>
        <w:rPr>
          <w:rFonts w:hint="eastAsia" w:ascii="仿宋_GB2312" w:hAnsi="仿宋_GB2312" w:eastAsia="仿宋_GB2312" w:cs="仿宋_GB2312"/>
          <w:sz w:val="32"/>
          <w:szCs w:val="32"/>
        </w:rPr>
        <w:t>专业教学资源库系统。</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依托数字化校园建设，以创建精品资源为核心，组织建设多媒体教学课件，多媒体教学素材(含辅助教学软件、课程录像)，教学案例，电子教案及电子教材，学生自主学习资料汇编(含考证题库)等，建立信息共享和自主学习的平台上的立体化教学资源库，实现全校师生的网络教学资源的共享与应用。为学生提供一个性能稳定、功能强大的自主学习的平台;促进主动式、协作式、研究型、自主型学习，形成开放、高效的新型教学模式。</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利用学校教育资源平台和智慧树等网络教学平台，开发和配备一批教学课件、数字化教学案例库、虚拟仿真软件、在线精品课程等，实训室根据承担得实训项目配备项目教学指导性文件和操作过程微课资源；对接“1+x”职业技能等级证书标准，明确考核内容和形式，优化课程设置和教学内容，开发相应的校本培训教材，形成种类丰富、形成多样、使用便捷、动态更新、满足教学得的数字化资源库。</w:t>
      </w:r>
    </w:p>
    <w:p>
      <w:pPr>
        <w:keepNext w:val="0"/>
        <w:keepLines w:val="0"/>
        <w:pageBreakBefore w:val="0"/>
        <w:numPr>
          <w:ilvl w:val="0"/>
          <w:numId w:val="0"/>
        </w:numPr>
        <w:kinsoku/>
        <w:wordWrap/>
        <w:overflowPunct/>
        <w:topLinePunct w:val="0"/>
        <w:autoSpaceDE w:val="0"/>
        <w:autoSpaceDN w:val="0"/>
        <w:bidi w:val="0"/>
        <w:adjustRightInd w:val="0"/>
        <w:snapToGrid/>
        <w:spacing w:line="560" w:lineRule="exact"/>
        <w:ind w:left="0" w:leftChars="0" w:firstLine="640" w:firstLineChars="200"/>
        <w:textAlignment w:val="auto"/>
        <w:outlineLvl w:val="1"/>
        <w:rPr>
          <w:rFonts w:hint="eastAsia" w:ascii="楷体_GB2312" w:hAnsi="楷体_GB2312" w:eastAsia="楷体_GB2312" w:cs="楷体_GB2312"/>
          <w:sz w:val="32"/>
          <w:szCs w:val="32"/>
        </w:rPr>
      </w:pPr>
      <w:bookmarkStart w:id="28" w:name="_Toc18020"/>
      <w:bookmarkStart w:id="29" w:name="_Toc29900"/>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教学设施</w:t>
      </w:r>
      <w:bookmarkEnd w:id="28"/>
    </w:p>
    <w:p>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主要包括能够满足正常教学的课程教学、实习实训所需要的专业教室、校内实训室和校外实习基地。</w:t>
      </w:r>
    </w:p>
    <w:p>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outlineLvl w:val="9"/>
        <w:rPr>
          <w:rFonts w:hint="eastAsia" w:ascii="仿宋_GB2312" w:hAnsi="仿宋_GB2312" w:eastAsia="仿宋_GB2312" w:cs="仿宋_GB2312"/>
          <w:sz w:val="32"/>
          <w:szCs w:val="32"/>
        </w:rPr>
      </w:pPr>
      <w:bookmarkStart w:id="30" w:name="_Toc21855"/>
      <w:r>
        <w:rPr>
          <w:rFonts w:hint="eastAsia" w:ascii="仿宋_GB2312" w:hAnsi="仿宋_GB2312" w:eastAsia="仿宋_GB2312" w:cs="仿宋_GB2312"/>
          <w:sz w:val="32"/>
          <w:szCs w:val="32"/>
        </w:rPr>
        <w:t>1.专业教室基本条件</w:t>
      </w:r>
      <w:bookmarkEnd w:id="30"/>
    </w:p>
    <w:p>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室配备黑（白）板、西沃白板、音响设备、互联网接入或无线网络环境，并具有网络安全防护措施；能够通过教学资源平台和在线网络课程开展混合教学；安装监控视频系统，可以进行线上授课；应急照明装置并保持良好状态，符合紧急疏散要求、标志明显、保持逃生通道畅通无阻。</w:t>
      </w:r>
    </w:p>
    <w:p>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outlineLvl w:val="9"/>
        <w:rPr>
          <w:rFonts w:hint="eastAsia" w:ascii="仿宋_GB2312" w:hAnsi="仿宋_GB2312" w:eastAsia="仿宋_GB2312" w:cs="仿宋_GB2312"/>
          <w:sz w:val="32"/>
          <w:szCs w:val="32"/>
        </w:rPr>
      </w:pPr>
      <w:bookmarkStart w:id="31" w:name="_Toc5777"/>
      <w:bookmarkStart w:id="32" w:name="_Toc9661"/>
      <w:r>
        <w:rPr>
          <w:rFonts w:hint="eastAsia" w:ascii="仿宋_GB2312" w:hAnsi="仿宋_GB2312" w:eastAsia="仿宋_GB2312" w:cs="仿宋_GB2312"/>
          <w:sz w:val="32"/>
          <w:szCs w:val="32"/>
        </w:rPr>
        <w:t>2.校内外实训场所基本要求</w:t>
      </w:r>
      <w:bookmarkEnd w:id="31"/>
      <w:bookmarkEnd w:id="32"/>
    </w:p>
    <w:p>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参照教育部《职业院校专业实训教学条件建设标准》和《山东省中等职业学校专业建设标准（试行）》（鲁教职字〔2012〕2号）中的要求，根据本专业的人才培养目标的要求以及实习实训的需要，在原有基础上、新建、扩建，优化整合，形成功能齐全的技能实训室，满足实训教学需要，按照每班36名学生为基准，</w:t>
      </w:r>
      <w:r>
        <w:rPr>
          <w:rFonts w:hint="eastAsia" w:ascii="仿宋_GB2312" w:hAnsi="仿宋_GB2312" w:eastAsia="仿宋_GB2312" w:cs="仿宋_GB2312"/>
          <w:sz w:val="32"/>
          <w:szCs w:val="32"/>
          <w:lang w:val="en-US" w:eastAsia="zh-CN"/>
        </w:rPr>
        <w:t>配备如下：</w:t>
      </w:r>
    </w:p>
    <w:tbl>
      <w:tblPr>
        <w:tblStyle w:val="11"/>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7"/>
        <w:gridCol w:w="3856"/>
        <w:gridCol w:w="2600"/>
        <w:gridCol w:w="841"/>
        <w:gridCol w:w="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物品名称</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规格参数</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专业影楼化妆台带灯学校婚纱工作室梳妆台化妆师用化妆桌</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170*45*170cm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简约现代日式实木美甲台单人双人双层美甲桌</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140*40*78cm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智慧纳米黑板多媒体教学一体机学校教室触控电子白板高清会议培训智能电容触摸一体机</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75英寸</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冠健壁挂无线音响</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30.8*21.3*19.5cm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高迈特美容院圆凳</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AC-03</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品若雅美容椅子沙发椅</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80099</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飞彩美发头模全真发新娘盘发 电棒/吹风造型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（金色全人发、可漂发、染色、烫发）</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20寸约50CM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飞彩模特头落地支架</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Z007</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途匠电卷棒25mm</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X8166</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奥克斯直板夹电夹板直卷两用负离子护发</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HS-705</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钰创合成SUN5plus光疗机甲油胶智能无痛烤灯速干感应UVLED太阳灯</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208*114*237mm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colour story莹润粉底液</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1#蜜桃色2#象牙白3#自然色4#古铜色5#麦芽色</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colour story粉底霜</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1#高光色2#蜜桃色3#肉粉色4#肉肤色5#棕色6#象牙白8#小麦色</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colour story专业化妆25支套刷</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cs白杆刷</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colour story四色眉粉</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四色眉粉</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colour story修颜隔离滋润乳</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1#白色2#绿色3#紫色</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colour story双色修容粉饼</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双色修容粉饼</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深蓝彩妆六色腮红多色可调色</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A组（夺目彩虹）27g</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深蓝bleunuit刀锋眉笔</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黑魅塑型刀锋笔01#灰色</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深蓝bleunuit刀锋眉笔</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黑魅塑型刀锋笔02#深棕色</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深蓝bleunuit超细轻颜持妆定妆蜜粉</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C101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深蓝bleunuit超细轻颜持妆定妆蜜粉</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W202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深蓝bleunuit黑魅盈采定妆蜜粉</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BL003</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深蓝bleunuit眼线膏</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流云眼线膏3g</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深蓝bleunuit哑光单色眼影</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C003/C007/C010/C012/C202/C204/C208/C214/C216/C309/C310/C505/C514/C613/C709/C808/C809/C901/C907/C910/C911/C109/C215</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深蓝bleunuit珠光单色眼影</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B01/B03/B04/B05/B16/B32/B36/B37/B38/B40/B43/B44/B46/B50/B51/B62/B67/B69/B72/B73/B74/B75/B76/B78/B79/B81/B82/B83/B85/B86/B88/B96/B98/B99/B100/B103/B104/绯紫色/香槟棕/亮金棕/C308/C511/C008</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卡梅拉18色DIY调色口红盘</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高定18色口红盘</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叁穗60色一瓶一色甲油胶（涂好色板）</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15ml/瓶</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雷尼原创黑金晶瓶功能胶</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底胶/俄式流平胶/钢化封层/磨砂封层</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雷尼原创176色独色套胶</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独色套胶-新 176全套</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钢制加厚办公资料柜书柜铁皮文件柜</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1850*900*400mm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十门带锁钢制更衣柜文件柜</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1850*900*400mm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美甲练习假手模型珠宝拍照直播道具带骨骼可动仿真硅胶手模特 带定位、浅肤色</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Q03-18左</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美甲练习假手模型珠宝拍照直播道具带骨骼可动仿真硅胶手模特 带定位、浅肤色</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Q03-18右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模特女手模道具手模美甲加重仿真手模型假手套展示拍照</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左右一对嫩肤色40cm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金色婚纱架子高档展示架女服装店上墙礼服架壁挂衣架影楼陈列吊架</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150*30*100cm</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雨嘉扁身女模特</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原木色手带头加厚黑方底</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3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butterfly发胶造型干胶</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600ml</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3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Theradome发廊吹风机家用大功率理发店负离子护发冷热风电吹风筒六种风温，2400W功率</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STL-8878Pro</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r>
    </w:tbl>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（四）教学方法</w:t>
      </w:r>
      <w:bookmarkEnd w:id="29"/>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坚持立德树人根本任务，在教学过程中，注重思政课程和课程思政相结合，达到人才培养规格的素质要求。</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hAnsi="仿宋_GB2312" w:eastAsia="仿宋_GB2312" w:cs="仿宋_GB2312"/>
          <w:sz w:val="32"/>
          <w:szCs w:val="32"/>
        </w:rPr>
      </w:pPr>
      <w:bookmarkStart w:id="33" w:name="_Toc23042"/>
      <w:bookmarkStart w:id="34" w:name="_Toc31828"/>
      <w:r>
        <w:rPr>
          <w:rFonts w:hint="eastAsia" w:ascii="仿宋_GB2312" w:hAnsi="仿宋_GB2312" w:eastAsia="仿宋_GB2312" w:cs="仿宋_GB2312"/>
          <w:sz w:val="32"/>
          <w:szCs w:val="32"/>
        </w:rPr>
        <w:t>1.公共基础课</w:t>
      </w:r>
      <w:bookmarkEnd w:id="33"/>
      <w:bookmarkEnd w:id="34"/>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基础课教学要符合教育部有关教育教学基本要求，按照培养学生学科素养、服务专业学习和终身发展的功能来定位，采用理论讲授式、启发式、问题探究式等教学方法，通过集体讲解、师生对话、小组讨论、案例分析、议题讨论、演讲竞赛等教学组织形式的改革，教学手段、教学模式的创新，调动学生学习积极性，为学生综合素养的提高、职业能力的形成和可持续发展奠定基础。</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hAnsi="仿宋_GB2312" w:eastAsia="仿宋_GB2312" w:cs="仿宋_GB2312"/>
          <w:sz w:val="32"/>
          <w:szCs w:val="32"/>
        </w:rPr>
      </w:pPr>
      <w:bookmarkStart w:id="35" w:name="_Toc23638"/>
      <w:bookmarkStart w:id="36" w:name="_Toc31883"/>
      <w:r>
        <w:rPr>
          <w:rFonts w:hint="eastAsia" w:ascii="仿宋_GB2312" w:hAnsi="仿宋_GB2312" w:eastAsia="仿宋_GB2312" w:cs="仿宋_GB2312"/>
          <w:sz w:val="32"/>
          <w:szCs w:val="32"/>
        </w:rPr>
        <w:t>2.专业（技能）课</w:t>
      </w:r>
      <w:bookmarkEnd w:id="35"/>
      <w:bookmarkEnd w:id="36"/>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校企合作、工学结合的人才培养模式，选择典型项目为载体，按照相应职业岗位（群）的能力要求，结合行业标准、职业技能考核标准和技能大赛要求，通过实际岗位任务与典型案例，践行项目教学改革任务引领、问题导向的教学理念，采取理论实践一体化教学模式，突出“做中学、做中教”的职业教育教学特色，提倡项目教学、案例教学、任务教学、角色扮演、情境教学等方法，运用启发式、探究式、讨论式、参与式教学形式，将学生的自主学习、合作学习和教师引导教学有机结合，优化教学过程，提升学</w:t>
      </w:r>
      <w:bookmarkStart w:id="37" w:name="bookmark23"/>
      <w:bookmarkEnd w:id="37"/>
      <w:r>
        <w:rPr>
          <w:rFonts w:hint="eastAsia" w:ascii="仿宋_GB2312" w:hAnsi="仿宋_GB2312" w:eastAsia="仿宋_GB2312" w:cs="仿宋_GB2312"/>
          <w:sz w:val="32"/>
          <w:szCs w:val="32"/>
        </w:rPr>
        <w:t>习效率。</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1"/>
        <w:rPr>
          <w:rFonts w:hint="eastAsia" w:ascii="楷体_GB2312" w:hAnsi="楷体_GB2312" w:eastAsia="楷体_GB2312" w:cs="楷体_GB2312"/>
          <w:sz w:val="32"/>
          <w:szCs w:val="32"/>
        </w:rPr>
      </w:pPr>
      <w:bookmarkStart w:id="38" w:name="_Toc32440"/>
      <w:r>
        <w:rPr>
          <w:rFonts w:hint="eastAsia" w:ascii="楷体_GB2312" w:hAnsi="楷体_GB2312" w:eastAsia="楷体_GB2312" w:cs="楷体_GB2312"/>
          <w:sz w:val="32"/>
          <w:szCs w:val="32"/>
        </w:rPr>
        <w:t>（五）学习评价</w:t>
      </w:r>
      <w:bookmarkEnd w:id="38"/>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本专业培养目标和以人为本的发展理念，建立科学的评价标准。学习评价应体现评价主体、评价方式、评价过程的多元化，探索增值评价，注意吸收家长、行业企业参与。注重校内与校外评价相结合，职业技能鉴定与学业考核结合，教师评价、用人单位评价、学生互评与自我评价相结合。过程性评价与结果性评价结合，加大过程考核，突出专业实践技能考核成绩在课程总成绩中的比重。</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rPr>
        <w:t>学校内学习评价采用学习过程评价、作业完成情况评价、实际操作评价和期末综合考核评价和岗位实习鉴定等多种方式。根据不同课程性质和教学要求，可以通过笔试、口试、实操、项目作业等方法，考核学生的知识、专业技能和工作规范等方面的学习水平；岗位实习评价则由实习企业和学校共同完成，从考勤、遵守工作纪律、工作态度、职业素养、专业知识和技能、创新意识、安全意识和实习成果等方面进行综合评价。学习评价不仅关注学生对知识的理解和技能的掌握，更要关注在实践运用知识与解决实际问题的能力水平，重视节能环保、绿色发展、规范操作、安全生产等职业素养的形成。</w:t>
      </w:r>
    </w:p>
    <w:p>
      <w:pPr>
        <w:keepNext w:val="0"/>
        <w:keepLines w:val="0"/>
        <w:pageBreakBefore w:val="0"/>
        <w:numPr>
          <w:ilvl w:val="0"/>
          <w:numId w:val="0"/>
        </w:numPr>
        <w:kinsoku/>
        <w:wordWrap/>
        <w:overflowPunct/>
        <w:topLinePunct w:val="0"/>
        <w:autoSpaceDE w:val="0"/>
        <w:autoSpaceDN w:val="0"/>
        <w:bidi w:val="0"/>
        <w:adjustRightInd w:val="0"/>
        <w:spacing w:line="560" w:lineRule="exact"/>
        <w:ind w:left="0" w:leftChars="0" w:firstLine="640" w:firstLineChars="200"/>
        <w:outlineLvl w:val="1"/>
        <w:rPr>
          <w:rFonts w:hint="eastAsia" w:ascii="楷体_GB2312" w:hAnsi="楷体_GB2312" w:eastAsia="楷体_GB2312" w:cs="楷体_GB2312"/>
          <w:sz w:val="32"/>
          <w:szCs w:val="32"/>
        </w:rPr>
      </w:pPr>
      <w:bookmarkStart w:id="39" w:name="_Toc107"/>
      <w:r>
        <w:rPr>
          <w:rFonts w:hint="eastAsia" w:ascii="楷体_GB2312" w:hAnsi="楷体_GB2312" w:eastAsia="楷体_GB2312" w:cs="楷体_GB2312"/>
          <w:kern w:val="2"/>
          <w:sz w:val="32"/>
          <w:szCs w:val="32"/>
          <w:lang w:val="en-US" w:eastAsia="zh-CN" w:bidi="ar-SA"/>
        </w:rPr>
        <w:t>（六）</w:t>
      </w:r>
      <w:r>
        <w:rPr>
          <w:rFonts w:hint="eastAsia" w:ascii="楷体_GB2312" w:hAnsi="楷体_GB2312" w:eastAsia="楷体_GB2312" w:cs="楷体_GB2312"/>
          <w:sz w:val="32"/>
          <w:szCs w:val="32"/>
        </w:rPr>
        <w:t>质量管理</w:t>
      </w:r>
      <w:bookmarkEnd w:id="39"/>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jc w:val="left"/>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w:t>
      </w:r>
      <w:r>
        <w:rPr>
          <w:rFonts w:hint="eastAsia" w:ascii="仿宋_GB2312" w:hAnsi="仿宋_GB2312" w:eastAsia="仿宋_GB2312" w:cs="仿宋_GB2312"/>
          <w:sz w:val="32"/>
          <w:szCs w:val="32"/>
          <w:lang w:bidi="ar"/>
        </w:rPr>
        <w:t>完善教学质量管理及评价机制</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jc w:val="left"/>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建立教学质量“学校—教学部”两级内部监控和评价机制，完善教学管理规章制度体系，通过推门听课、教学巡查、教考分离、教学文件抽检、开展集体备课和教研活动等方式对日常教学过程进行监控和管理，保证毕业生培养质量达到国家规定的标准。建立与行业企业联动的实践教学环节督导制度，健全专业教学质量监控和评价机制，加强课堂教学、实习实训等方面质量标准建设。按照学校教育教学督导要求，落实《威海市职业中等专业学校教师教学工作规范》《关于建立教学常规巡查工作制度的通知》等文件要求，对教师教学质量进行综合评价。</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建立和完善人才培养质量社会评价及反馈机制</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落实学校《学生学业质量评价方案》，完善学业水平测试、综合素质评价和毕业生质量跟踪反馈机制及社会评价机制，对生源情况、在校生学业水平、毕业生就业情况等进行分析，定期评价人才培养质量和培养目标达成情况。</w:t>
      </w:r>
      <w:r>
        <w:rPr>
          <w:rFonts w:hint="eastAsia" w:ascii="仿宋_GB2312" w:hAnsi="仿宋_GB2312" w:eastAsia="仿宋_GB2312" w:cs="仿宋_GB2312"/>
          <w:sz w:val="32"/>
          <w:szCs w:val="32"/>
        </w:rPr>
        <w:t>专业教研组织应充分利用评价分析结果有效改进专业教学，持续提高人才培养质量。</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建立专业建设诊断与改进机制</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定期组织专业建设委员会开展专业建设研讨，及时开展专业调研、人才培养方案更新和教学资源建设研究工作。专业教研组建立集中备课制度，每周召开一次研讨会议，对专业教学、实训室建设、社会服务、课程建设等进行研判，持续提高专业建设水平和人才培养质量。</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0"/>
        <w:rPr>
          <w:rFonts w:ascii="黑体" w:hAnsi="黑体" w:eastAsia="黑体" w:cs="黑体"/>
          <w:sz w:val="32"/>
          <w:szCs w:val="32"/>
        </w:rPr>
      </w:pPr>
      <w:bookmarkStart w:id="40" w:name="_Toc13216"/>
      <w:r>
        <w:rPr>
          <w:rFonts w:hint="eastAsia" w:ascii="黑体" w:hAnsi="黑体" w:eastAsia="黑体" w:cs="黑体"/>
          <w:sz w:val="32"/>
          <w:szCs w:val="32"/>
          <w:lang w:val="en-US" w:eastAsia="zh-CN"/>
        </w:rPr>
        <w:t>九</w:t>
      </w:r>
      <w:r>
        <w:rPr>
          <w:rFonts w:hint="eastAsia" w:ascii="黑体" w:hAnsi="黑体" w:eastAsia="黑体" w:cs="黑体"/>
          <w:sz w:val="32"/>
          <w:szCs w:val="32"/>
        </w:rPr>
        <w:t>、毕业要求</w:t>
      </w:r>
      <w:bookmarkEnd w:id="40"/>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1"/>
        <w:rPr>
          <w:rFonts w:hint="eastAsia" w:ascii="楷体_GB2312" w:hAnsi="楷体_GB2312" w:eastAsia="楷体_GB2312" w:cs="楷体_GB2312"/>
          <w:kern w:val="0"/>
          <w:sz w:val="32"/>
          <w:szCs w:val="32"/>
          <w:shd w:val="clear" w:color="auto" w:fill="FFFFFF"/>
          <w:lang w:bidi="ar"/>
        </w:rPr>
      </w:pPr>
      <w:bookmarkStart w:id="41" w:name="_Toc27909"/>
      <w:r>
        <w:rPr>
          <w:rFonts w:hint="eastAsia" w:ascii="楷体_GB2312" w:hAnsi="楷体_GB2312" w:eastAsia="楷体_GB2312" w:cs="楷体_GB2312"/>
          <w:kern w:val="0"/>
          <w:sz w:val="32"/>
          <w:szCs w:val="32"/>
          <w:shd w:val="clear" w:color="auto" w:fill="FFFFFF"/>
          <w:lang w:eastAsia="zh-CN" w:bidi="ar"/>
        </w:rPr>
        <w:t>（</w:t>
      </w:r>
      <w:r>
        <w:rPr>
          <w:rFonts w:hint="eastAsia" w:ascii="楷体_GB2312" w:hAnsi="楷体_GB2312" w:eastAsia="楷体_GB2312" w:cs="楷体_GB2312"/>
          <w:kern w:val="0"/>
          <w:sz w:val="32"/>
          <w:szCs w:val="32"/>
          <w:shd w:val="clear" w:color="auto" w:fill="FFFFFF"/>
          <w:lang w:val="en-US" w:eastAsia="zh-CN" w:bidi="ar"/>
        </w:rPr>
        <w:t>一）</w:t>
      </w:r>
      <w:r>
        <w:rPr>
          <w:rFonts w:hint="eastAsia" w:ascii="楷体_GB2312" w:hAnsi="楷体_GB2312" w:eastAsia="楷体_GB2312" w:cs="楷体_GB2312"/>
          <w:kern w:val="0"/>
          <w:sz w:val="32"/>
          <w:szCs w:val="32"/>
          <w:shd w:val="clear" w:color="auto" w:fill="FFFFFF"/>
          <w:lang w:bidi="ar"/>
        </w:rPr>
        <w:t>思想品德</w:t>
      </w:r>
      <w:bookmarkEnd w:id="41"/>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在校学习期间（含校外岗位实习期间）无违法或严重违纪行为，思想品德评定合格。</w:t>
      </w:r>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1"/>
        <w:rPr>
          <w:rFonts w:hint="eastAsia" w:ascii="楷体_GB2312" w:hAnsi="楷体_GB2312" w:eastAsia="楷体_GB2312" w:cs="楷体_GB2312"/>
          <w:kern w:val="0"/>
          <w:sz w:val="32"/>
          <w:szCs w:val="32"/>
          <w:shd w:val="clear" w:color="auto" w:fill="FFFFFF"/>
          <w:lang w:bidi="ar"/>
        </w:rPr>
      </w:pPr>
      <w:bookmarkStart w:id="42" w:name="_Toc5111"/>
      <w:r>
        <w:rPr>
          <w:rFonts w:hint="eastAsia" w:ascii="楷体_GB2312" w:hAnsi="楷体_GB2312" w:eastAsia="楷体_GB2312" w:cs="楷体_GB2312"/>
          <w:kern w:val="0"/>
          <w:sz w:val="32"/>
          <w:szCs w:val="32"/>
          <w:shd w:val="clear" w:color="auto" w:fill="FFFFFF"/>
          <w:lang w:eastAsia="zh-CN" w:bidi="ar"/>
        </w:rPr>
        <w:t>（</w:t>
      </w:r>
      <w:r>
        <w:rPr>
          <w:rFonts w:hint="eastAsia" w:ascii="楷体_GB2312" w:hAnsi="楷体_GB2312" w:eastAsia="楷体_GB2312" w:cs="楷体_GB2312"/>
          <w:kern w:val="0"/>
          <w:sz w:val="32"/>
          <w:szCs w:val="32"/>
          <w:shd w:val="clear" w:color="auto" w:fill="FFFFFF"/>
          <w:lang w:val="en-US" w:eastAsia="zh-CN" w:bidi="ar"/>
        </w:rPr>
        <w:t>二）</w:t>
      </w:r>
      <w:r>
        <w:rPr>
          <w:rFonts w:hint="eastAsia" w:ascii="楷体_GB2312" w:hAnsi="楷体_GB2312" w:eastAsia="楷体_GB2312" w:cs="楷体_GB2312"/>
          <w:kern w:val="0"/>
          <w:sz w:val="32"/>
          <w:szCs w:val="32"/>
          <w:shd w:val="clear" w:color="auto" w:fill="FFFFFF"/>
          <w:lang w:bidi="ar"/>
        </w:rPr>
        <w:t>学业成绩</w:t>
      </w:r>
      <w:bookmarkEnd w:id="42"/>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rPr>
          <w:rFonts w:hint="eastAsia" w:ascii="仿宋" w:hAnsi="仿宋" w:eastAsia="仿宋" w:cs="仿宋"/>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在校期间，修完专业人才培养方案规定的所有课程，经考试或考查合格。</w:t>
      </w:r>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1"/>
        <w:rPr>
          <w:rFonts w:hint="eastAsia" w:ascii="楷体" w:hAnsi="楷体" w:eastAsia="楷体" w:cs="楷体"/>
          <w:kern w:val="0"/>
          <w:sz w:val="32"/>
          <w:szCs w:val="32"/>
          <w:shd w:val="clear" w:color="auto" w:fill="FFFFFF"/>
          <w:lang w:bidi="ar"/>
        </w:rPr>
      </w:pPr>
      <w:bookmarkStart w:id="43" w:name="_Toc305"/>
      <w:r>
        <w:rPr>
          <w:rFonts w:hint="eastAsia" w:ascii="楷体_GB2312" w:hAnsi="楷体_GB2312" w:eastAsia="楷体_GB2312" w:cs="楷体_GB2312"/>
          <w:kern w:val="0"/>
          <w:sz w:val="32"/>
          <w:szCs w:val="32"/>
          <w:shd w:val="clear" w:color="auto" w:fill="FFFFFF"/>
          <w:lang w:eastAsia="zh-CN" w:bidi="ar"/>
        </w:rPr>
        <w:t>（</w:t>
      </w:r>
      <w:r>
        <w:rPr>
          <w:rFonts w:hint="eastAsia" w:ascii="楷体_GB2312" w:hAnsi="楷体_GB2312" w:eastAsia="楷体_GB2312" w:cs="楷体_GB2312"/>
          <w:kern w:val="0"/>
          <w:sz w:val="32"/>
          <w:szCs w:val="32"/>
          <w:shd w:val="clear" w:color="auto" w:fill="FFFFFF"/>
          <w:lang w:val="en-US" w:eastAsia="zh-CN" w:bidi="ar"/>
        </w:rPr>
        <w:t>三</w:t>
      </w:r>
      <w:r>
        <w:rPr>
          <w:rFonts w:hint="eastAsia" w:ascii="楷体_GB2312" w:hAnsi="楷体_GB2312" w:eastAsia="楷体_GB2312" w:cs="楷体_GB2312"/>
          <w:kern w:val="0"/>
          <w:sz w:val="32"/>
          <w:szCs w:val="32"/>
          <w:shd w:val="clear" w:color="auto" w:fill="FFFFFF"/>
          <w:lang w:eastAsia="zh-CN" w:bidi="ar"/>
        </w:rPr>
        <w:t>）</w:t>
      </w:r>
      <w:r>
        <w:rPr>
          <w:rFonts w:hint="eastAsia" w:ascii="楷体_GB2312" w:hAnsi="楷体_GB2312" w:eastAsia="楷体_GB2312" w:cs="楷体_GB2312"/>
          <w:kern w:val="0"/>
          <w:sz w:val="32"/>
          <w:szCs w:val="32"/>
          <w:shd w:val="clear" w:color="auto" w:fill="FFFFFF"/>
          <w:lang w:bidi="ar"/>
        </w:rPr>
        <w:t>实习合格</w:t>
      </w:r>
      <w:bookmarkEnd w:id="43"/>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岗位实习期满，经学校、企业共同鉴定，实习成绩合格。</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sz w:val="32"/>
          <w:szCs w:val="32"/>
        </w:rPr>
      </w:pPr>
    </w:p>
    <w:p>
      <w:pPr>
        <w:keepNext w:val="0"/>
        <w:keepLines w:val="0"/>
        <w:pageBreakBefore w:val="0"/>
        <w:kinsoku/>
        <w:wordWrap/>
        <w:overflowPunct/>
        <w:topLinePunct w:val="0"/>
        <w:bidi w:val="0"/>
        <w:adjustRightInd w:val="0"/>
        <w:snapToGrid w:val="0"/>
        <w:spacing w:line="560" w:lineRule="exact"/>
        <w:ind w:firstLine="640" w:firstLineChars="200"/>
        <w:jc w:val="right"/>
        <w:rPr>
          <w:rFonts w:hint="eastAsia" w:ascii="仿宋" w:hAnsi="仿宋" w:eastAsia="仿宋" w:cs="仿宋"/>
          <w:sz w:val="32"/>
          <w:szCs w:val="32"/>
        </w:rPr>
      </w:pPr>
    </w:p>
    <w:p>
      <w:pPr>
        <w:keepNext w:val="0"/>
        <w:keepLines w:val="0"/>
        <w:pageBreakBefore w:val="0"/>
        <w:kinsoku/>
        <w:wordWrap/>
        <w:overflowPunct/>
        <w:topLinePunct w:val="0"/>
        <w:bidi w:val="0"/>
        <w:adjustRightInd w:val="0"/>
        <w:snapToGrid w:val="0"/>
        <w:spacing w:line="560" w:lineRule="exact"/>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威海</w:t>
      </w:r>
      <w:r>
        <w:rPr>
          <w:rFonts w:hint="eastAsia" w:ascii="仿宋_GB2312" w:hAnsi="仿宋_GB2312" w:eastAsia="仿宋_GB2312" w:cs="仿宋_GB2312"/>
          <w:sz w:val="32"/>
          <w:szCs w:val="32"/>
          <w:lang w:val="en-US" w:eastAsia="zh-CN"/>
        </w:rPr>
        <w:t>智慧谷</w:t>
      </w:r>
      <w:r>
        <w:rPr>
          <w:rFonts w:hint="eastAsia" w:ascii="仿宋_GB2312" w:hAnsi="仿宋_GB2312" w:eastAsia="仿宋_GB2312" w:cs="仿宋_GB2312"/>
          <w:sz w:val="32"/>
          <w:szCs w:val="32"/>
        </w:rPr>
        <w:t>职业中等专业学校</w:t>
      </w:r>
    </w:p>
    <w:p>
      <w:pPr>
        <w:keepNext w:val="0"/>
        <w:keepLines w:val="0"/>
        <w:pageBreakBefore w:val="0"/>
        <w:kinsoku/>
        <w:wordWrap/>
        <w:overflowPunct/>
        <w:topLinePunct w:val="0"/>
        <w:bidi w:val="0"/>
        <w:adjustRightInd w:val="0"/>
        <w:snapToGrid w:val="0"/>
        <w:spacing w:line="560" w:lineRule="exact"/>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p>
    <w:p>
      <w:pPr>
        <w:keepNext w:val="0"/>
        <w:keepLines w:val="0"/>
        <w:pageBreakBefore w:val="0"/>
        <w:kinsoku/>
        <w:wordWrap/>
        <w:overflowPunct/>
        <w:topLinePunct w:val="0"/>
        <w:bidi w:val="0"/>
        <w:spacing w:line="560" w:lineRule="exact"/>
        <w:ind w:firstLine="640" w:firstLineChars="200"/>
        <w:jc w:val="right"/>
        <w:rPr>
          <w:rFonts w:hint="eastAsia" w:ascii="仿宋" w:hAnsi="仿宋" w:eastAsia="仿宋" w:cs="仿宋"/>
          <w:sz w:val="32"/>
          <w:szCs w:val="32"/>
          <w:lang w:val="en-US" w:eastAsia="zh-CN"/>
        </w:rPr>
      </w:pPr>
    </w:p>
    <w:sectPr>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DC98C3-5E27-4064-A56E-89E1171947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E58F8CB-595D-4838-9181-EAF9EB735F8A}"/>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2000000000000000000"/>
    <w:charset w:val="86"/>
    <w:family w:val="auto"/>
    <w:pitch w:val="default"/>
    <w:sig w:usb0="00000001" w:usb1="080E0000" w:usb2="00000000" w:usb3="00000000" w:csb0="00040000" w:csb1="00000000"/>
    <w:embedRegular r:id="rId3" w:fontKey="{10680636-E5E1-4314-976F-5CA1C9B88402}"/>
  </w:font>
  <w:font w:name="楷体_GB2312">
    <w:panose1 w:val="02010609030101010101"/>
    <w:charset w:val="86"/>
    <w:family w:val="modern"/>
    <w:pitch w:val="default"/>
    <w:sig w:usb0="00000001" w:usb1="080E0000" w:usb2="00000000" w:usb3="00000000" w:csb0="00040000" w:csb1="00000000"/>
    <w:embedRegular r:id="rId4" w:fontKey="{16E273A6-EF63-415E-B4DC-3EE5D1F0F796}"/>
  </w:font>
  <w:font w:name="仿宋">
    <w:panose1 w:val="02010609060101010101"/>
    <w:charset w:val="86"/>
    <w:family w:val="auto"/>
    <w:pitch w:val="default"/>
    <w:sig w:usb0="800002BF" w:usb1="38CF7CFA" w:usb2="00000016" w:usb3="00000000" w:csb0="00040001" w:csb1="00000000"/>
    <w:embedRegular r:id="rId5" w:fontKey="{60AA3712-4EC5-4D5A-A3C0-BCDF854FCA72}"/>
  </w:font>
  <w:font w:name="仿宋_GB2312">
    <w:panose1 w:val="02010609030101010101"/>
    <w:charset w:val="86"/>
    <w:family w:val="modern"/>
    <w:pitch w:val="default"/>
    <w:sig w:usb0="00000001" w:usb1="080E0000" w:usb2="00000000" w:usb3="00000000" w:csb0="00040000" w:csb1="00000000"/>
    <w:embedRegular r:id="rId6" w:fontKey="{90841850-19C7-4F9C-A077-06970DC16A3A}"/>
  </w:font>
  <w:font w:name="楷体">
    <w:panose1 w:val="02010609060101010101"/>
    <w:charset w:val="86"/>
    <w:family w:val="auto"/>
    <w:pitch w:val="default"/>
    <w:sig w:usb0="800002BF" w:usb1="38CF7CFA" w:usb2="00000016" w:usb3="00000000" w:csb0="00040001" w:csb1="00000000"/>
    <w:embedRegular r:id="rId7" w:fontKey="{2AB56B67-3CC2-4A8A-8638-E75DE5141F2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jMDFmN2Q0NWI4YWQ5NzAyNjIxNjg0MzYzZmRhZTEifQ=="/>
  </w:docVars>
  <w:rsids>
    <w:rsidRoot w:val="642B470C"/>
    <w:rsid w:val="068040D1"/>
    <w:rsid w:val="07780C5F"/>
    <w:rsid w:val="103C1BA8"/>
    <w:rsid w:val="21801086"/>
    <w:rsid w:val="256A7D45"/>
    <w:rsid w:val="283A77AD"/>
    <w:rsid w:val="388566FA"/>
    <w:rsid w:val="486F64A5"/>
    <w:rsid w:val="494E72CF"/>
    <w:rsid w:val="49C21C1D"/>
    <w:rsid w:val="53DA0FF8"/>
    <w:rsid w:val="5878254D"/>
    <w:rsid w:val="5FA33DFC"/>
    <w:rsid w:val="642B470C"/>
    <w:rsid w:val="68305532"/>
    <w:rsid w:val="69713A4F"/>
    <w:rsid w:val="6BDB0458"/>
    <w:rsid w:val="6D0B2A7C"/>
    <w:rsid w:val="6FA9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Normal Indent"/>
    <w:autoRedefine/>
    <w:unhideWhenUsed/>
    <w:qFormat/>
    <w:uiPriority w:val="99"/>
    <w:pPr>
      <w:widowControl w:val="0"/>
      <w:ind w:firstLine="420" w:firstLineChars="200"/>
      <w:jc w:val="both"/>
    </w:pPr>
    <w:rPr>
      <w:rFonts w:ascii="Calibri" w:hAnsi="Calibri" w:eastAsiaTheme="minorEastAsia" w:cstheme="minorBidi"/>
      <w:kern w:val="2"/>
      <w:sz w:val="21"/>
      <w:szCs w:val="24"/>
      <w:lang w:val="en-US" w:eastAsia="zh-CN" w:bidi="ar-SA"/>
    </w:rPr>
  </w:style>
  <w:style w:type="paragraph" w:styleId="3">
    <w:name w:val="Body Text"/>
    <w:autoRedefine/>
    <w:semiHidden/>
    <w:qFormat/>
    <w:uiPriority w:val="0"/>
    <w:pPr>
      <w:widowControl w:val="0"/>
      <w:jc w:val="both"/>
    </w:pPr>
    <w:rPr>
      <w:rFonts w:ascii="宋体" w:hAnsi="宋体" w:cs="宋体" w:eastAsiaTheme="minorEastAsia"/>
      <w:kern w:val="2"/>
      <w:sz w:val="19"/>
      <w:szCs w:val="19"/>
      <w:lang w:val="en-US" w:eastAsia="en-US" w:bidi="ar-SA"/>
    </w:rPr>
  </w:style>
  <w:style w:type="paragraph" w:styleId="4">
    <w:name w:val="toc 3"/>
    <w:basedOn w:val="1"/>
    <w:next w:val="1"/>
    <w:autoRedefine/>
    <w:qFormat/>
    <w:uiPriority w:val="0"/>
    <w:pPr>
      <w:ind w:left="840" w:leftChars="400"/>
    </w:pPr>
  </w:style>
  <w:style w:type="paragraph" w:styleId="5">
    <w:name w:val="Plain Text"/>
    <w:autoRedefine/>
    <w:qFormat/>
    <w:uiPriority w:val="0"/>
    <w:pPr>
      <w:widowControl w:val="0"/>
      <w:jc w:val="both"/>
    </w:pPr>
    <w:rPr>
      <w:rFonts w:ascii="宋体" w:hAnsi="Courier New" w:eastAsia="宋体" w:cs="Times New Roman"/>
      <w:kern w:val="2"/>
      <w:sz w:val="21"/>
      <w:lang w:val="en-US" w:eastAsia="zh-CN" w:bidi="ar-SA"/>
    </w:rPr>
  </w:style>
  <w:style w:type="paragraph" w:styleId="6">
    <w:name w:val="footer"/>
    <w:autoRedefine/>
    <w:qFormat/>
    <w:uiPriority w:val="0"/>
    <w:pPr>
      <w:widowControl w:val="0"/>
      <w:tabs>
        <w:tab w:val="center" w:pos="4153"/>
        <w:tab w:val="right" w:pos="8306"/>
      </w:tabs>
      <w:snapToGrid w:val="0"/>
      <w:jc w:val="left"/>
    </w:pPr>
    <w:rPr>
      <w:rFonts w:asciiTheme="minorHAnsi" w:hAnsiTheme="minorHAnsi" w:eastAsiaTheme="minorEastAsia" w:cstheme="minorBidi"/>
      <w:kern w:val="2"/>
      <w:sz w:val="18"/>
      <w:szCs w:val="24"/>
      <w:lang w:val="en-US" w:eastAsia="zh-CN" w:bidi="ar-SA"/>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0"/>
  </w:style>
  <w:style w:type="paragraph" w:styleId="9">
    <w:name w:val="toc 2"/>
    <w:basedOn w:val="1"/>
    <w:next w:val="1"/>
    <w:autoRedefine/>
    <w:qFormat/>
    <w:uiPriority w:val="0"/>
    <w:pPr>
      <w:ind w:left="420" w:leftChars="200"/>
    </w:pPr>
  </w:style>
  <w:style w:type="paragraph" w:styleId="10">
    <w:name w:val="Normal (Web)"/>
    <w:autoRedefine/>
    <w:qFormat/>
    <w:uiPriority w:val="0"/>
    <w:pPr>
      <w:widowControl w:val="0"/>
      <w:spacing w:before="100" w:beforeAutospacing="1" w:after="100" w:afterAutospacing="1"/>
      <w:jc w:val="both"/>
    </w:pPr>
    <w:rPr>
      <w:rFonts w:ascii="宋体" w:hAnsi="宋体" w:cs="宋体" w:eastAsiaTheme="minorEastAsia"/>
      <w:kern w:val="2"/>
      <w:sz w:val="24"/>
      <w:szCs w:val="24"/>
      <w:lang w:val="en-US" w:eastAsia="zh-CN" w:bidi="ar-SA"/>
    </w:rPr>
  </w:style>
  <w:style w:type="table" w:styleId="12">
    <w:name w:val="Table Grid"/>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Table Paragraph"/>
    <w:autoRedefine/>
    <w:qFormat/>
    <w:uiPriority w:val="1"/>
    <w:pPr>
      <w:widowControl w:val="0"/>
      <w:jc w:val="both"/>
    </w:pPr>
    <w:rPr>
      <w:rFonts w:ascii="Arial Unicode MS" w:hAnsi="Arial Unicode MS" w:eastAsia="Arial Unicode MS" w:cs="Arial Unicode MS"/>
      <w:kern w:val="2"/>
      <w:sz w:val="21"/>
      <w:szCs w:val="24"/>
      <w:lang w:val="zh-CN" w:eastAsia="zh-CN" w:bidi="zh-CN"/>
    </w:rPr>
  </w:style>
  <w:style w:type="paragraph" w:customStyle="1" w:styleId="15">
    <w:name w:val="一、"/>
    <w:autoRedefine/>
    <w:qFormat/>
    <w:uiPriority w:val="0"/>
    <w:pPr>
      <w:widowControl w:val="0"/>
      <w:jc w:val="center"/>
    </w:pPr>
    <w:rPr>
      <w:rFonts w:ascii="Times New Roman" w:hAnsi="Times New Roman" w:eastAsia="宋体" w:cs="Times New Roman"/>
      <w:kern w:val="2"/>
      <w:sz w:val="18"/>
      <w:lang w:val="en-US" w:eastAsia="zh-CN" w:bidi="ar-SA"/>
    </w:rPr>
  </w:style>
  <w:style w:type="paragraph" w:customStyle="1" w:styleId="16">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17">
    <w:name w:val="WPSOffice手动目录 2"/>
    <w:autoRedefine/>
    <w:qFormat/>
    <w:uiPriority w:val="0"/>
    <w:pPr>
      <w:ind w:leftChars="200"/>
    </w:pPr>
    <w:rPr>
      <w:rFonts w:asciiTheme="minorHAnsi" w:hAnsiTheme="minorHAnsi" w:eastAsiaTheme="minorEastAsia" w:cstheme="minorBidi"/>
      <w:sz w:val="20"/>
      <w:szCs w:val="20"/>
    </w:rPr>
  </w:style>
  <w:style w:type="paragraph" w:customStyle="1" w:styleId="18">
    <w:name w:val="WPSOffice手动目录 3"/>
    <w:autoRedefine/>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14854</Words>
  <Characters>15836</Characters>
  <Lines>0</Lines>
  <Paragraphs>0</Paragraphs>
  <TotalTime>13</TotalTime>
  <ScaleCrop>false</ScaleCrop>
  <LinksUpToDate>false</LinksUpToDate>
  <CharactersWithSpaces>16136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2024-03-20T15:46:00Z</dcterms:created>
  <dc:creator>肥透的大怪兽</dc:creator>
  <cp:lastModifiedBy>肥透的大怪兽</cp:lastModifiedBy>
  <dcterms:modified xsi:type="dcterms:W3CDTF">2024-03-25T07:02:49Z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31480399A093433AB3D5B4942DD503E5_13</vt:lpwstr>
  </property>
</Properties>
</file>