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435" w:afterLines="100" w:line="360" w:lineRule="auto"/>
        <w:rPr>
          <w:rFonts w:ascii="方正小标宋简体" w:hAnsi="方正小标宋简体" w:eastAsia="方正小标宋简体" w:cs="方正小标宋简体"/>
          <w:b/>
          <w:bCs/>
          <w:sz w:val="32"/>
          <w:szCs w:val="32"/>
        </w:rPr>
      </w:pPr>
      <w:bookmarkStart w:id="0" w:name="bookmark1"/>
      <w:bookmarkEnd w:id="0"/>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rPr>
          <w:rFonts w:ascii="方正小标宋简体" w:hAnsi="方正小标宋简体" w:eastAsia="方正小标宋简体" w:cs="方正小标宋简体"/>
          <w:b/>
          <w:bCs/>
          <w:sz w:val="32"/>
          <w:szCs w:val="32"/>
        </w:rPr>
      </w:pPr>
    </w:p>
    <w:p>
      <w:pPr>
        <w:adjustRightInd w:val="0"/>
        <w:snapToGrid w:val="0"/>
        <w:spacing w:after="435" w:afterLines="100" w:line="360" w:lineRule="auto"/>
        <w:jc w:val="center"/>
        <w:outlineLvl w:val="9"/>
        <w:rPr>
          <w:rFonts w:ascii="方正小标宋简体" w:hAnsi="方正小标宋简体" w:eastAsia="方正小标宋简体" w:cs="方正小标宋简体"/>
          <w:b/>
          <w:bCs/>
          <w:sz w:val="48"/>
          <w:szCs w:val="48"/>
        </w:rPr>
      </w:pPr>
      <w:r>
        <w:rPr>
          <w:rFonts w:hint="eastAsia" w:ascii="方正小标宋简体" w:hAnsi="方正小标宋简体" w:eastAsia="方正小标宋简体" w:cs="方正小标宋简体"/>
          <w:b/>
          <w:bCs/>
          <w:sz w:val="48"/>
          <w:szCs w:val="48"/>
        </w:rPr>
        <w:t>计算机平面设计专业人才培养方案</w:t>
      </w:r>
    </w:p>
    <w:p>
      <w:pPr>
        <w:adjustRightInd w:val="0"/>
        <w:snapToGrid w:val="0"/>
        <w:spacing w:after="435" w:afterLines="100" w:line="360" w:lineRule="auto"/>
        <w:jc w:val="center"/>
        <w:rPr>
          <w:rFonts w:ascii="方正小标宋简体" w:hAnsi="方正小标宋简体" w:eastAsia="方正小标宋简体" w:cs="方正小标宋简体"/>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line="360" w:lineRule="auto"/>
        <w:jc w:val="center"/>
        <w:rPr>
          <w:rFonts w:ascii="方正小标宋简体" w:hAnsi="方正小标宋简体" w:eastAsia="方正小标宋简体" w:cs="方正小标宋简体"/>
          <w:b/>
          <w:bCs/>
          <w:sz w:val="36"/>
          <w:szCs w:val="36"/>
        </w:rPr>
      </w:pPr>
    </w:p>
    <w:p>
      <w:pPr>
        <w:adjustRightInd w:val="0"/>
        <w:snapToGrid w:val="0"/>
        <w:spacing w:after="435" w:afterLines="100"/>
        <w:jc w:val="center"/>
        <w:outlineLvl w:val="9"/>
        <w:rPr>
          <w:rFonts w:ascii="楷体" w:hAnsi="楷体" w:eastAsia="楷体" w:cs="楷体"/>
          <w:sz w:val="32"/>
          <w:szCs w:val="32"/>
        </w:rPr>
      </w:pPr>
      <w:r>
        <w:rPr>
          <w:rFonts w:hint="eastAsia" w:ascii="楷体" w:hAnsi="楷体" w:eastAsia="楷体" w:cs="楷体"/>
          <w:sz w:val="32"/>
          <w:szCs w:val="32"/>
        </w:rPr>
        <w:t>威海</w:t>
      </w:r>
      <w:r>
        <w:rPr>
          <w:rFonts w:hint="eastAsia" w:ascii="楷体" w:hAnsi="楷体" w:eastAsia="楷体" w:cs="楷体"/>
          <w:sz w:val="32"/>
          <w:szCs w:val="32"/>
          <w:lang w:val="en-US" w:eastAsia="zh-CN"/>
        </w:rPr>
        <w:t>智慧谷</w:t>
      </w:r>
      <w:r>
        <w:rPr>
          <w:rFonts w:hint="eastAsia" w:ascii="楷体" w:hAnsi="楷体" w:eastAsia="楷体" w:cs="楷体"/>
          <w:sz w:val="32"/>
          <w:szCs w:val="32"/>
        </w:rPr>
        <w:t>职业中等专业学校</w:t>
      </w:r>
    </w:p>
    <w:p>
      <w:pPr>
        <w:adjustRightInd w:val="0"/>
        <w:snapToGrid w:val="0"/>
        <w:spacing w:after="435" w:afterLines="100"/>
        <w:jc w:val="center"/>
        <w:rPr>
          <w:rFonts w:ascii="楷体" w:hAnsi="楷体" w:eastAsia="楷体" w:cs="楷体"/>
          <w:sz w:val="32"/>
          <w:szCs w:val="32"/>
        </w:rPr>
      </w:pPr>
      <w:r>
        <w:rPr>
          <w:rFonts w:hint="eastAsia" w:ascii="楷体" w:hAnsi="楷体" w:eastAsia="楷体" w:cs="楷体"/>
          <w:sz w:val="32"/>
          <w:szCs w:val="32"/>
        </w:rPr>
        <w:t>202</w:t>
      </w:r>
      <w:r>
        <w:rPr>
          <w:rFonts w:hint="eastAsia" w:ascii="楷体" w:hAnsi="楷体" w:eastAsia="楷体" w:cs="楷体"/>
          <w:sz w:val="32"/>
          <w:szCs w:val="32"/>
          <w:lang w:val="en-US" w:eastAsia="zh-CN"/>
        </w:rPr>
        <w:t>4</w:t>
      </w:r>
      <w:r>
        <w:rPr>
          <w:rFonts w:hint="eastAsia" w:ascii="楷体" w:hAnsi="楷体" w:eastAsia="楷体" w:cs="楷体"/>
          <w:sz w:val="32"/>
          <w:szCs w:val="32"/>
        </w:rPr>
        <w:t>年</w:t>
      </w:r>
      <w:r>
        <w:rPr>
          <w:rFonts w:hint="eastAsia" w:ascii="楷体" w:hAnsi="楷体" w:eastAsia="楷体" w:cs="楷体"/>
          <w:sz w:val="32"/>
          <w:szCs w:val="32"/>
          <w:lang w:val="en-US" w:eastAsia="zh-CN"/>
        </w:rPr>
        <w:t>3</w:t>
      </w:r>
      <w:r>
        <w:rPr>
          <w:rFonts w:hint="eastAsia" w:ascii="楷体" w:hAnsi="楷体" w:eastAsia="楷体" w:cs="楷体"/>
          <w:sz w:val="32"/>
          <w:szCs w:val="32"/>
        </w:rPr>
        <w:t>月</w:t>
      </w:r>
    </w:p>
    <w:p>
      <w:pPr>
        <w:spacing w:before="104" w:line="223" w:lineRule="auto"/>
        <w:ind w:left="4388"/>
        <w:rPr>
          <w:rFonts w:ascii="仿宋_GB2312" w:hAnsi="仿宋_GB2312" w:eastAsia="仿宋_GB2312" w:cs="仿宋_GB2312"/>
          <w:sz w:val="28"/>
          <w:szCs w:val="28"/>
        </w:rPr>
      </w:pPr>
    </w:p>
    <w:p>
      <w:pPr>
        <w:widowControl/>
        <w:jc w:val="left"/>
        <w:rPr>
          <w:rFonts w:ascii="仿宋_GB2312" w:hAnsi="仿宋_GB2312" w:eastAsia="仿宋_GB2312" w:cs="仿宋_GB2312"/>
          <w:sz w:val="28"/>
          <w:szCs w:val="28"/>
        </w:rPr>
      </w:pPr>
      <w:r>
        <w:rPr>
          <w:rFonts w:ascii="仿宋_GB2312" w:hAnsi="仿宋_GB2312" w:eastAsia="仿宋_GB2312" w:cs="仿宋_GB2312"/>
          <w:sz w:val="28"/>
          <w:szCs w:val="28"/>
        </w:rPr>
        <w:br w:type="page"/>
      </w:r>
    </w:p>
    <w:sdt>
      <w:sdtPr>
        <w:rPr>
          <w:rFonts w:ascii="宋体" w:hAnsi="宋体" w:eastAsia="宋体" w:cs="Times New Roman"/>
          <w:kern w:val="2"/>
          <w:sz w:val="21"/>
          <w:szCs w:val="24"/>
          <w:lang w:val="en-US" w:eastAsia="zh-CN" w:bidi="ar-SA"/>
        </w:rPr>
        <w:id w:val="147466320"/>
        <w15:color w:val="DBDBDB"/>
        <w:docPartObj>
          <w:docPartGallery w:val="Table of Contents"/>
          <w:docPartUnique/>
        </w:docPartObj>
      </w:sdtPr>
      <w:sdtEndPr>
        <w:rPr>
          <w:rFonts w:hint="eastAsia" w:ascii="方正小标宋简体" w:hAnsi="方正小标宋简体" w:eastAsia="方正小标宋简体" w:cs="方正小标宋简体"/>
          <w:b/>
          <w:kern w:val="2"/>
          <w:sz w:val="21"/>
          <w:szCs w:val="44"/>
          <w:lang w:val="en-US" w:eastAsia="zh-CN" w:bidi="ar-SA"/>
        </w:rPr>
      </w:sdtEndPr>
      <w:sdtContent>
        <w:p>
          <w:pPr>
            <w:spacing w:before="0" w:beforeLines="0" w:after="0" w:afterLines="0" w:line="240" w:lineRule="auto"/>
            <w:ind w:left="0" w:leftChars="0" w:right="0" w:rightChars="0" w:firstLine="0" w:firstLineChars="0"/>
            <w:jc w:val="center"/>
            <w:rPr>
              <w:rFonts w:hint="eastAsia" w:ascii="仿宋_GB2312" w:hAnsi="仿宋_GB2312" w:eastAsia="仿宋_GB2312" w:cs="仿宋_GB2312"/>
              <w:sz w:val="32"/>
              <w:szCs w:val="32"/>
            </w:rPr>
          </w:pPr>
          <w:bookmarkStart w:id="37" w:name="_GoBack"/>
          <w:bookmarkEnd w:id="37"/>
          <w:r>
            <w:rPr>
              <w:rFonts w:hint="eastAsia" w:ascii="仿宋_GB2312" w:hAnsi="仿宋_GB2312" w:eastAsia="仿宋_GB2312" w:cs="仿宋_GB2312"/>
              <w:sz w:val="32"/>
              <w:szCs w:val="32"/>
            </w:rPr>
            <w:t>目录</w:t>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"1-2" \h \u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_Toc1447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一、专业名称及代码</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_Toc30914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二、入学要求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_Toc30914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_Toc5783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三、修业年限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_Toc5783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_Toc17880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四、职业面向</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_Toc17880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_Toc4937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rPr>
            <w:drawing>
              <wp:inline distT="0" distB="0" distL="0" distR="0">
                <wp:extent cx="1270" cy="140970"/>
                <wp:effectExtent l="0" t="0" r="17780" b="11430"/>
                <wp:docPr id="5" name="IM 308"/>
                <wp:cNvGraphicFramePr/>
                <a:graphic xmlns:a="http://schemas.openxmlformats.org/drawingml/2006/main">
                  <a:graphicData uri="http://schemas.openxmlformats.org/drawingml/2006/picture">
                    <pic:pic xmlns:pic="http://schemas.openxmlformats.org/drawingml/2006/picture">
                      <pic:nvPicPr>
                        <pic:cNvPr id="5" name="IM 308"/>
                        <pic:cNvPicPr/>
                      </pic:nvPicPr>
                      <pic:blipFill>
                        <a:blip r:embed="rId8"/>
                        <a:stretch>
                          <a:fillRect/>
                        </a:stretch>
                      </pic:blipFill>
                      <pic:spPr>
                        <a:xfrm>
                          <a:off x="0" y="0"/>
                          <a:ext cx="1777" cy="141414"/>
                        </a:xfrm>
                        <a:prstGeom prst="rect">
                          <a:avLst/>
                        </a:prstGeom>
                      </pic:spPr>
                    </pic:pic>
                  </a:graphicData>
                </a:graphic>
              </wp:inline>
            </w:drawing>
          </w:r>
          <w:r>
            <w:rPr>
              <w:rFonts w:hint="eastAsia" w:ascii="仿宋_GB2312" w:hAnsi="仿宋_GB2312" w:eastAsia="仿宋_GB2312" w:cs="仿宋_GB2312"/>
              <w:sz w:val="32"/>
              <w:szCs w:val="32"/>
            </w:rPr>
            <w:t>接续专业</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_Toc4937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_Toc30985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六、培养目标与培养规格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_Toc30985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_Toc32382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（一）培养目标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_Toc32382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_Toc10031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w:t>
          </w:r>
          <w:r>
            <w:rPr>
              <w:rFonts w:hint="eastAsia" w:ascii="仿宋_GB2312" w:hAnsi="仿宋_GB2312" w:eastAsia="仿宋_GB2312" w:cs="仿宋_GB2312"/>
              <w:sz w:val="32"/>
              <w:szCs w:val="32"/>
            </w:rPr>
            <w:t>二）培养规格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_Toc10031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_Toc10847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rPr>
            <w:t>七、课程结构框架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_Toc10847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_Toc28601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rPr>
            <w:t>八、课程设置及要求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_Toc28601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_Toc7899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（一）公共基础课程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_Toc7899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_Toc4115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（二）专业（技能）课程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_Toc4115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_Toc3078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九、教学进程总体安排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_Toc1800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sz w:val="32"/>
              <w:szCs w:val="32"/>
            </w:rPr>
            <w:t>基本要求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_Toc1800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_Toc28764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rPr>
            <w:t>教学时间安排</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_Toc28764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_Toc28806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（三）</w:t>
          </w:r>
          <w:r>
            <w:rPr>
              <w:rFonts w:hint="eastAsia" w:ascii="仿宋_GB2312" w:hAnsi="仿宋_GB2312" w:eastAsia="仿宋_GB2312" w:cs="仿宋_GB2312"/>
              <w:sz w:val="32"/>
              <w:szCs w:val="32"/>
            </w:rPr>
            <w:t>教学进程安排表</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_Toc28806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_Toc6666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val="en-US" w:eastAsia="zh-CN" w:bidi="ar"/>
            </w:rPr>
            <w:t>十</w:t>
          </w:r>
          <w:r>
            <w:rPr>
              <w:rFonts w:hint="eastAsia" w:ascii="仿宋_GB2312" w:hAnsi="仿宋_GB2312" w:eastAsia="仿宋_GB2312" w:cs="仿宋_GB2312"/>
              <w:kern w:val="0"/>
              <w:sz w:val="32"/>
              <w:szCs w:val="32"/>
              <w:shd w:val="clear" w:color="auto" w:fill="FFFFFF"/>
              <w:lang w:bidi="ar"/>
            </w:rPr>
            <w:t>、实施保障</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_Toc17450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（一）</w:t>
          </w:r>
          <w:r>
            <w:rPr>
              <w:rFonts w:hint="eastAsia" w:ascii="仿宋_GB2312" w:hAnsi="仿宋_GB2312" w:eastAsia="仿宋_GB2312" w:cs="仿宋_GB2312"/>
              <w:sz w:val="32"/>
              <w:szCs w:val="32"/>
            </w:rPr>
            <w:t>师资队伍</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_Toc17450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_Toc9142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（二）</w:t>
          </w:r>
          <w:r>
            <w:rPr>
              <w:rFonts w:hint="eastAsia" w:ascii="仿宋_GB2312" w:hAnsi="仿宋_GB2312" w:eastAsia="仿宋_GB2312" w:cs="仿宋_GB2312"/>
              <w:sz w:val="32"/>
              <w:szCs w:val="32"/>
            </w:rPr>
            <w:t>教学设施</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_Toc9142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_Toc13690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（三）教学资源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_Toc13690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_Toc20577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（四）教学方法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_Toc20577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_Toc10948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（五）学习评价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_Toc10948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_Toc1863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2"/>
              <w:sz w:val="32"/>
              <w:szCs w:val="32"/>
              <w:lang w:val="en-US" w:eastAsia="zh-CN" w:bidi="ar-SA"/>
            </w:rPr>
            <w:t>（六）</w:t>
          </w:r>
          <w:r>
            <w:rPr>
              <w:rFonts w:hint="eastAsia" w:ascii="仿宋_GB2312" w:hAnsi="仿宋_GB2312" w:eastAsia="仿宋_GB2312" w:cs="仿宋_GB2312"/>
              <w:sz w:val="32"/>
              <w:szCs w:val="32"/>
            </w:rPr>
            <w:t>质量管理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_Toc1863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_Toc10215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rPr>
            <w:t>、毕业要求</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_Toc10215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_Toc30712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（一）思想品德</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_Toc30712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_Toc13475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（二）学业成绩</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_Toc13475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_Toc28666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（三）实习合格</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_Toc28666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_Toc16924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kern w:val="0"/>
              <w:sz w:val="32"/>
              <w:szCs w:val="32"/>
              <w:shd w:val="clear" w:color="auto" w:fill="FFFFFF"/>
              <w:lang w:bidi="ar"/>
            </w:rPr>
            <w:t>（四）证书考核</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_Toc16924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3"/>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_Toc30387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、附录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_Toc30387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_Toc29102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附件1：</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_Toc29102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pStyle w:val="15"/>
            <w:tabs>
              <w:tab w:val="right" w:leader="dot" w:pos="8844"/>
            </w:tabs>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_Toc10604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附件2：</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_Toc10604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r>
            <w:rPr>
              <w:rFonts w:hint="eastAsia" w:ascii="仿宋_GB2312" w:hAnsi="仿宋_GB2312" w:eastAsia="仿宋_GB2312" w:cs="仿宋_GB2312"/>
              <w:sz w:val="32"/>
              <w:szCs w:val="32"/>
            </w:rPr>
            <w:fldChar w:fldCharType="end"/>
          </w:r>
        </w:p>
      </w:sdtContent>
    </w:sdt>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pPr>
    </w:p>
    <w:p>
      <w:pPr>
        <w:adjustRightInd w:val="0"/>
        <w:snapToGrid w:val="0"/>
        <w:spacing w:after="435" w:afterLines="100" w:line="580" w:lineRule="exact"/>
        <w:jc w:val="center"/>
        <w:outlineLvl w:val="9"/>
        <w:rPr>
          <w:rFonts w:hint="eastAsia" w:ascii="方正小标宋简体" w:hAnsi="方正小标宋简体" w:eastAsia="方正小标宋简体" w:cs="方正小标宋简体"/>
          <w:sz w:val="44"/>
          <w:szCs w:val="44"/>
        </w:rPr>
        <w:sectPr>
          <w:headerReference r:id="rId3" w:type="default"/>
          <w:footerReference r:id="rId4" w:type="default"/>
          <w:pgSz w:w="11906" w:h="16838"/>
          <w:pgMar w:top="2041" w:right="1531" w:bottom="1984" w:left="1531" w:header="851" w:footer="992" w:gutter="0"/>
          <w:pgNumType w:fmt="decimal"/>
          <w:cols w:space="720" w:num="1"/>
          <w:docGrid w:type="lines" w:linePitch="312" w:charSpace="0"/>
        </w:sectPr>
      </w:pPr>
    </w:p>
    <w:p>
      <w:pPr>
        <w:adjustRightInd w:val="0"/>
        <w:snapToGrid w:val="0"/>
        <w:spacing w:after="435" w:afterLines="100" w:line="580" w:lineRule="exact"/>
        <w:jc w:val="center"/>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计算机平面设计专业人才培养方案</w:t>
      </w:r>
    </w:p>
    <w:p>
      <w:pPr>
        <w:adjustRightInd w:val="0"/>
        <w:snapToGrid w:val="0"/>
        <w:spacing w:line="580" w:lineRule="exact"/>
        <w:ind w:firstLine="640" w:firstLineChars="200"/>
        <w:outlineLvl w:val="0"/>
        <w:rPr>
          <w:rFonts w:ascii="黑体" w:hAnsi="黑体" w:eastAsia="黑体" w:cs="黑体"/>
          <w:sz w:val="32"/>
          <w:szCs w:val="32"/>
        </w:rPr>
      </w:pPr>
      <w:bookmarkStart w:id="1" w:name="_Toc1447"/>
      <w:r>
        <w:rPr>
          <w:rFonts w:hint="eastAsia" w:ascii="黑体" w:hAnsi="黑体" w:eastAsia="黑体" w:cs="黑体"/>
          <w:sz w:val="32"/>
          <w:szCs w:val="32"/>
        </w:rPr>
        <w:t>一、专业名称及代码</w:t>
      </w:r>
      <w:bookmarkEnd w:id="1"/>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1.专业名称：计算机平面设计     </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专业大类：电子与信息大类（71）</w:t>
      </w:r>
    </w:p>
    <w:p>
      <w:pPr>
        <w:adjustRightInd w:val="0"/>
        <w:snapToGri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3.专业类别：电子信息类7101</w:t>
      </w:r>
    </w:p>
    <w:p>
      <w:pPr>
        <w:adjustRightInd w:val="0"/>
        <w:snapToGrid w:val="0"/>
        <w:spacing w:line="56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专业代码：</w:t>
      </w:r>
      <w:r>
        <w:rPr>
          <w:rFonts w:hint="eastAsia" w:ascii="仿宋_GB2312" w:hAnsi="仿宋_GB2312" w:eastAsia="仿宋_GB2312" w:cs="仿宋_GB2312"/>
          <w:color w:val="auto"/>
          <w:sz w:val="32"/>
          <w:szCs w:val="32"/>
        </w:rPr>
        <w:t>710210</w:t>
      </w:r>
    </w:p>
    <w:p>
      <w:pPr>
        <w:pStyle w:val="16"/>
        <w:adjustRightInd w:val="0"/>
        <w:snapToGrid w:val="0"/>
        <w:spacing w:before="0" w:beforeAutospacing="0" w:after="0" w:afterAutospacing="0" w:line="560" w:lineRule="exact"/>
        <w:ind w:firstLine="640" w:firstLineChars="200"/>
        <w:outlineLvl w:val="0"/>
        <w:rPr>
          <w:rFonts w:ascii="黑体" w:hAnsi="黑体" w:eastAsia="黑体" w:cs="黑体"/>
          <w:sz w:val="32"/>
          <w:szCs w:val="32"/>
        </w:rPr>
      </w:pPr>
      <w:bookmarkStart w:id="2" w:name="_Toc30914"/>
      <w:r>
        <w:rPr>
          <w:rFonts w:hint="eastAsia" w:ascii="黑体" w:hAnsi="黑体" w:eastAsia="黑体" w:cs="黑体"/>
          <w:sz w:val="32"/>
          <w:szCs w:val="32"/>
        </w:rPr>
        <w:t>二、入学要求</w:t>
      </w:r>
      <w:bookmarkEnd w:id="2"/>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初中毕业生及同等学力</w:t>
      </w:r>
    </w:p>
    <w:p>
      <w:pPr>
        <w:adjustRightInd w:val="0"/>
        <w:snapToGrid w:val="0"/>
        <w:spacing w:line="560" w:lineRule="exact"/>
        <w:ind w:firstLine="640" w:firstLineChars="200"/>
        <w:outlineLvl w:val="0"/>
        <w:rPr>
          <w:rFonts w:ascii="黑体" w:hAnsi="黑体" w:eastAsia="黑体" w:cs="黑体"/>
          <w:sz w:val="32"/>
          <w:szCs w:val="32"/>
        </w:rPr>
      </w:pPr>
      <w:bookmarkStart w:id="3" w:name="_Toc5783"/>
      <w:r>
        <w:rPr>
          <w:rFonts w:hint="eastAsia" w:ascii="黑体" w:hAnsi="黑体" w:eastAsia="黑体" w:cs="黑体"/>
          <w:sz w:val="32"/>
          <w:szCs w:val="32"/>
        </w:rPr>
        <w:t>三、修业年限</w:t>
      </w:r>
      <w:bookmarkEnd w:id="3"/>
    </w:p>
    <w:p>
      <w:pPr>
        <w:pStyle w:val="16"/>
        <w:adjustRightInd w:val="0"/>
        <w:snapToGrid w:val="0"/>
        <w:spacing w:before="0" w:beforeAutospacing="0" w:after="0" w:afterAutospacing="0" w:line="560" w:lineRule="exact"/>
        <w:outlineLvl w:val="9"/>
        <w:rPr>
          <w:rFonts w:ascii="黑体" w:hAnsi="黑体" w:eastAsia="黑体" w:cs="黑体"/>
          <w:sz w:val="32"/>
          <w:szCs w:val="32"/>
        </w:rPr>
      </w:pP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 xml:space="preserve"> 3年</w:t>
      </w:r>
    </w:p>
    <w:p>
      <w:pPr>
        <w:pStyle w:val="16"/>
        <w:adjustRightInd w:val="0"/>
        <w:snapToGrid w:val="0"/>
        <w:spacing w:before="0" w:beforeAutospacing="0" w:after="0" w:afterAutospacing="0" w:line="560" w:lineRule="exact"/>
        <w:ind w:firstLine="640" w:firstLineChars="200"/>
        <w:outlineLvl w:val="0"/>
        <w:rPr>
          <w:rFonts w:ascii="黑体" w:hAnsi="黑体" w:eastAsia="黑体" w:cs="黑体"/>
          <w:sz w:val="32"/>
          <w:szCs w:val="32"/>
        </w:rPr>
      </w:pPr>
      <w:bookmarkStart w:id="4" w:name="_Toc17880"/>
      <w:r>
        <w:rPr>
          <w:rFonts w:hint="eastAsia" w:ascii="黑体" w:hAnsi="黑体" w:eastAsia="黑体" w:cs="黑体"/>
          <w:sz w:val="32"/>
          <w:szCs w:val="32"/>
        </w:rPr>
        <w:t>四、职业面向</w:t>
      </w:r>
      <w:bookmarkEnd w:id="4"/>
    </w:p>
    <w:p>
      <w:pPr>
        <w:pStyle w:val="16"/>
        <w:adjustRightInd w:val="0"/>
        <w:snapToGrid w:val="0"/>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面向专业化设计服务人员等职业，计算机平面设计、广告制作、包装设计、网页美工</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印刷印前和印后</w:t>
      </w:r>
      <w:r>
        <w:rPr>
          <w:rFonts w:hint="eastAsia" w:ascii="仿宋_GB2312" w:hAnsi="仿宋_GB2312" w:eastAsia="仿宋_GB2312" w:cs="仿宋_GB2312"/>
          <w:sz w:val="32"/>
          <w:szCs w:val="32"/>
        </w:rPr>
        <w:t>等岗位（群）。</w:t>
      </w:r>
    </w:p>
    <w:p>
      <w:pPr>
        <w:pStyle w:val="16"/>
        <w:adjustRightInd w:val="0"/>
        <w:snapToGrid w:val="0"/>
        <w:spacing w:before="0" w:beforeAutospacing="0" w:after="0" w:afterAutospacing="0"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rPr>
        <w:t xml:space="preserve">  表1：职业面向信息表</w:t>
      </w:r>
    </w:p>
    <w:tbl>
      <w:tblPr>
        <w:tblStyle w:val="18"/>
        <w:tblpPr w:leftFromText="180" w:rightFromText="180" w:vertAnchor="text" w:horzAnchor="page" w:tblpX="1375" w:tblpY="305"/>
        <w:tblOverlap w:val="never"/>
        <w:tblW w:w="100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5"/>
        <w:gridCol w:w="1350"/>
        <w:gridCol w:w="1509"/>
        <w:gridCol w:w="1650"/>
        <w:gridCol w:w="2106"/>
        <w:gridCol w:w="1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485"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所属专业大类</w:t>
            </w:r>
          </w:p>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（代码）</w:t>
            </w:r>
          </w:p>
        </w:tc>
        <w:tc>
          <w:tcPr>
            <w:tcW w:w="1350"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所属专业类（代码）</w:t>
            </w:r>
          </w:p>
        </w:tc>
        <w:tc>
          <w:tcPr>
            <w:tcW w:w="1509"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对应行业</w:t>
            </w:r>
          </w:p>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（代码）</w:t>
            </w:r>
          </w:p>
        </w:tc>
        <w:tc>
          <w:tcPr>
            <w:tcW w:w="1650"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主要职业类别</w:t>
            </w:r>
          </w:p>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（代码）</w:t>
            </w:r>
          </w:p>
        </w:tc>
        <w:tc>
          <w:tcPr>
            <w:tcW w:w="2106"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主要岗位</w:t>
            </w:r>
          </w:p>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（或技术领域）</w:t>
            </w:r>
          </w:p>
        </w:tc>
        <w:tc>
          <w:tcPr>
            <w:tcW w:w="1995" w:type="dxa"/>
            <w:vAlign w:val="center"/>
          </w:tcPr>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职业资格证书或</w:t>
            </w:r>
          </w:p>
          <w:p>
            <w:pPr>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职业技能等级证书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9" w:hRule="exact"/>
        </w:trPr>
        <w:tc>
          <w:tcPr>
            <w:tcW w:w="1485"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电子与信息（71）</w:t>
            </w:r>
          </w:p>
        </w:tc>
        <w:tc>
          <w:tcPr>
            <w:tcW w:w="1350"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计算机（7102）</w:t>
            </w:r>
          </w:p>
        </w:tc>
        <w:tc>
          <w:tcPr>
            <w:tcW w:w="1509" w:type="dxa"/>
            <w:vAlign w:val="center"/>
          </w:tcPr>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 xml:space="preserve">广告业 </w:t>
            </w:r>
          </w:p>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（725)</w:t>
            </w:r>
          </w:p>
        </w:tc>
        <w:tc>
          <w:tcPr>
            <w:tcW w:w="1650" w:type="dxa"/>
            <w:vAlign w:val="center"/>
          </w:tcPr>
          <w:p>
            <w:pPr>
              <w:spacing w:line="280" w:lineRule="exact"/>
              <w:rPr>
                <w:rFonts w:ascii="仿宋_GB2312" w:hAnsi="仿宋_GB2312" w:eastAsia="仿宋_GB2312" w:cs="仿宋_GB2312"/>
                <w:szCs w:val="21"/>
              </w:rPr>
            </w:pPr>
          </w:p>
          <w:p>
            <w:pPr>
              <w:spacing w:line="28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广告设计师（4-08-08-08）</w:t>
            </w:r>
          </w:p>
          <w:p>
            <w:pPr>
              <w:spacing w:line="280" w:lineRule="exact"/>
              <w:jc w:val="center"/>
              <w:rPr>
                <w:rFonts w:ascii="仿宋_GB2312" w:hAnsi="仿宋_GB2312" w:eastAsia="仿宋_GB2312" w:cs="仿宋_GB2312"/>
                <w:szCs w:val="21"/>
              </w:rPr>
            </w:pPr>
          </w:p>
          <w:p>
            <w:pPr>
              <w:spacing w:line="280" w:lineRule="exact"/>
              <w:jc w:val="center"/>
              <w:rPr>
                <w:rFonts w:ascii="仿宋_GB2312" w:hAnsi="仿宋_GB2312" w:eastAsia="仿宋_GB2312" w:cs="仿宋_GB2312"/>
                <w:szCs w:val="21"/>
              </w:rPr>
            </w:pPr>
          </w:p>
          <w:p>
            <w:pPr>
              <w:spacing w:line="280" w:lineRule="exact"/>
              <w:jc w:val="center"/>
              <w:rPr>
                <w:rFonts w:ascii="仿宋_GB2312" w:hAnsi="仿宋_GB2312" w:eastAsia="仿宋_GB2312" w:cs="仿宋_GB2312"/>
                <w:szCs w:val="21"/>
              </w:rPr>
            </w:pPr>
          </w:p>
          <w:p>
            <w:pPr>
              <w:spacing w:line="280" w:lineRule="exact"/>
              <w:jc w:val="center"/>
              <w:rPr>
                <w:rFonts w:ascii="仿宋_GB2312" w:hAnsi="仿宋_GB2312" w:eastAsia="仿宋_GB2312" w:cs="仿宋_GB2312"/>
                <w:szCs w:val="21"/>
              </w:rPr>
            </w:pPr>
          </w:p>
        </w:tc>
        <w:tc>
          <w:tcPr>
            <w:tcW w:w="2106" w:type="dxa"/>
            <w:vAlign w:val="center"/>
          </w:tcPr>
          <w:p>
            <w:pPr>
              <w:spacing w:line="280" w:lineRule="exact"/>
              <w:rPr>
                <w:rFonts w:ascii="仿宋_GB2312" w:hAnsi="仿宋_GB2312" w:eastAsia="仿宋_GB2312" w:cs="仿宋_GB2312"/>
                <w:szCs w:val="21"/>
              </w:rPr>
            </w:pPr>
            <w:r>
              <w:rPr>
                <w:rFonts w:hint="eastAsia" w:ascii="仿宋_GB2312" w:hAnsi="仿宋_GB2312" w:eastAsia="仿宋_GB2312" w:cs="仿宋_GB2312"/>
                <w:szCs w:val="21"/>
              </w:rPr>
              <w:t>设计师助理、设计师、修图员、视频剪辑员等岗位</w:t>
            </w:r>
          </w:p>
        </w:tc>
        <w:tc>
          <w:tcPr>
            <w:tcW w:w="1995" w:type="dxa"/>
            <w:vAlign w:val="center"/>
          </w:tcPr>
          <w:p>
            <w:pPr>
              <w:spacing w:line="28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广告设计师三级</w:t>
            </w:r>
          </w:p>
        </w:tc>
      </w:tr>
    </w:tbl>
    <w:p>
      <w:pPr>
        <w:spacing w:before="70"/>
        <w:ind w:firstLine="640" w:firstLineChars="200"/>
        <w:outlineLvl w:val="0"/>
        <w:rPr>
          <w:rFonts w:ascii="黑体" w:hAnsi="黑体" w:eastAsia="黑体" w:cs="黑体"/>
          <w:sz w:val="32"/>
          <w:szCs w:val="32"/>
        </w:rPr>
      </w:pPr>
      <w:bookmarkStart w:id="5" w:name="_Toc4937"/>
      <w:r>
        <w:rPr>
          <w:rFonts w:hint="eastAsia" w:ascii="黑体" w:hAnsi="黑体" w:eastAsia="黑体" w:cs="黑体"/>
          <w:sz w:val="32"/>
          <w:szCs w:val="32"/>
        </w:rPr>
        <w:t>五、</w:t>
      </w:r>
      <w:r>
        <w:rPr>
          <w:rFonts w:hint="eastAsia" w:ascii="黑体" w:hAnsi="黑体" w:eastAsia="黑体" w:cs="黑体"/>
          <w:sz w:val="32"/>
          <w:szCs w:val="32"/>
        </w:rPr>
        <mc:AlternateContent>
          <mc:Choice Requires="wps">
            <w:drawing>
              <wp:anchor distT="0" distB="0" distL="114300" distR="114300" simplePos="0" relativeHeight="251662336" behindDoc="0" locked="0" layoutInCell="1" allowOverlap="1">
                <wp:simplePos x="0" y="0"/>
                <wp:positionH relativeFrom="column">
                  <wp:posOffset>563245</wp:posOffset>
                </wp:positionH>
                <wp:positionV relativeFrom="paragraph">
                  <wp:posOffset>42545</wp:posOffset>
                </wp:positionV>
                <wp:extent cx="3175" cy="3175"/>
                <wp:effectExtent l="0" t="0" r="0" b="0"/>
                <wp:wrapNone/>
                <wp:docPr id="3" name="任意多边形 3"/>
                <wp:cNvGraphicFramePr/>
                <a:graphic xmlns:a="http://schemas.openxmlformats.org/drawingml/2006/main">
                  <a:graphicData uri="http://schemas.microsoft.com/office/word/2010/wordprocessingShape">
                    <wps:wsp>
                      <wps:cNvSpPr/>
                      <wps:spPr>
                        <a:xfrm>
                          <a:off x="0" y="0"/>
                          <a:ext cx="3175" cy="3175"/>
                        </a:xfrm>
                        <a:custGeom>
                          <a:avLst/>
                          <a:gdLst/>
                          <a:ahLst/>
                          <a:cxnLst/>
                          <a:rect l="0" t="0" r="0" b="0"/>
                          <a:pathLst>
                            <a:path w="5" h="5">
                              <a:moveTo>
                                <a:pt x="1" y="3"/>
                              </a:moveTo>
                              <a:lnTo>
                                <a:pt x="3" y="1"/>
                              </a:lnTo>
                            </a:path>
                          </a:pathLst>
                        </a:custGeom>
                        <a:noFill/>
                        <a:ln w="1778" cap="sq" cmpd="sng">
                          <a:solidFill>
                            <a:srgbClr val="2E97D3"/>
                          </a:solidFill>
                          <a:prstDash val="solid"/>
                          <a:headEnd type="none" w="med" len="med"/>
                          <a:tailEnd type="none" w="med" len="med"/>
                        </a:ln>
                      </wps:spPr>
                      <wps:bodyPr upright="1"/>
                    </wps:wsp>
                  </a:graphicData>
                </a:graphic>
              </wp:anchor>
            </w:drawing>
          </mc:Choice>
          <mc:Fallback>
            <w:pict>
              <v:shape id="_x0000_s1026" o:spid="_x0000_s1026" o:spt="100" style="position:absolute;left:0pt;margin-left:44.35pt;margin-top:3.35pt;height:0.25pt;width:0.25pt;z-index:251662336;mso-width-relative:page;mso-height-relative:page;" filled="f" stroked="t" coordsize="5,5" o:gfxdata="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D5p+32AAAAAUBAAAPAAAAAAAAAAEAIAAAACIAAABkcnMvZG93bnJl&#10;di54bWxQSwECFAAUAAAACACHTuJA4hxepTYCAAChBAAADgAAAAAAAAABACAAAAAnAQAAZHJzL2Uy&#10;b0RvYy54bWxQSwUGAAAAAAYABgBZAQAAzwUAAAAA&#10;" path="m1,3l3,1e">
                <v:fill on="f" focussize="0,0"/>
                <v:stroke weight="0.14pt" color="#2E97D3" joinstyle="round" endcap="square"/>
                <v:imagedata o:title=""/>
                <o:lock v:ext="edit" aspectratio="f"/>
              </v:shape>
            </w:pict>
          </mc:Fallback>
        </mc:AlternateContent>
      </w:r>
      <w:bookmarkStart w:id="6" w:name="bookmark26"/>
      <w:bookmarkEnd w:id="6"/>
      <w:r>
        <w:rPr>
          <w:rFonts w:hint="eastAsia" w:ascii="黑体" w:hAnsi="黑体" w:eastAsia="黑体" w:cs="黑体"/>
          <w:sz w:val="32"/>
          <w:szCs w:val="32"/>
        </w:rPr>
        <w:drawing>
          <wp:inline distT="0" distB="0" distL="0" distR="0">
            <wp:extent cx="1270" cy="140970"/>
            <wp:effectExtent l="0" t="0" r="17780" b="11430"/>
            <wp:docPr id="308" name="IM 308"/>
            <wp:cNvGraphicFramePr/>
            <a:graphic xmlns:a="http://schemas.openxmlformats.org/drawingml/2006/main">
              <a:graphicData uri="http://schemas.openxmlformats.org/drawingml/2006/picture">
                <pic:pic xmlns:pic="http://schemas.openxmlformats.org/drawingml/2006/picture">
                  <pic:nvPicPr>
                    <pic:cNvPr id="308" name="IM 308"/>
                    <pic:cNvPicPr/>
                  </pic:nvPicPr>
                  <pic:blipFill>
                    <a:blip r:embed="rId8"/>
                    <a:stretch>
                      <a:fillRect/>
                    </a:stretch>
                  </pic:blipFill>
                  <pic:spPr>
                    <a:xfrm>
                      <a:off x="0" y="0"/>
                      <a:ext cx="1777" cy="141414"/>
                    </a:xfrm>
                    <a:prstGeom prst="rect">
                      <a:avLst/>
                    </a:prstGeom>
                  </pic:spPr>
                </pic:pic>
              </a:graphicData>
            </a:graphic>
          </wp:inline>
        </w:drawing>
      </w:r>
      <w:r>
        <w:rPr>
          <w:rFonts w:hint="eastAsia" w:ascii="黑体" w:hAnsi="黑体" w:eastAsia="黑体" w:cs="黑体"/>
          <w:sz w:val="32"/>
          <w:szCs w:val="32"/>
        </w:rPr>
        <w:t>接续专业</w:t>
      </w:r>
      <w:bookmarkEnd w:id="5"/>
    </w:p>
    <w:p>
      <w:pPr>
        <w:spacing w:line="4" w:lineRule="exact"/>
        <w:ind w:firstLine="420" w:firstLineChars="200"/>
      </w:pPr>
      <w:r>
        <w:drawing>
          <wp:inline distT="0" distB="0" distL="0" distR="0">
            <wp:extent cx="2540" cy="1905"/>
            <wp:effectExtent l="0" t="0" r="0" b="0"/>
            <wp:docPr id="310" name="IM 310"/>
            <wp:cNvGraphicFramePr/>
            <a:graphic xmlns:a="http://schemas.openxmlformats.org/drawingml/2006/main">
              <a:graphicData uri="http://schemas.openxmlformats.org/drawingml/2006/picture">
                <pic:pic xmlns:pic="http://schemas.openxmlformats.org/drawingml/2006/picture">
                  <pic:nvPicPr>
                    <pic:cNvPr id="310" name="IM 310"/>
                    <pic:cNvPicPr/>
                  </pic:nvPicPr>
                  <pic:blipFill>
                    <a:blip r:embed="rId9"/>
                    <a:stretch>
                      <a:fillRect/>
                    </a:stretch>
                  </pic:blipFill>
                  <pic:spPr>
                    <a:xfrm>
                      <a:off x="0" y="0"/>
                      <a:ext cx="2997" cy="2476"/>
                    </a:xfrm>
                    <a:prstGeom prst="rect">
                      <a:avLst/>
                    </a:prstGeom>
                  </pic:spPr>
                </pic:pic>
              </a:graphicData>
            </a:graphic>
          </wp:inline>
        </w:drawing>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在专业人才培养中注重培养终身学习理念，让学生明确本专业毕业后继续学习渠道和接受更高层次教育的专业面向。</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接续高职专科专业：视觉传达设计、数字</w:t>
      </w:r>
      <w:r>
        <w:rPr>
          <w:rFonts w:hint="eastAsia" w:ascii="仿宋_GB2312" w:hAnsi="仿宋_GB2312" w:eastAsia="仿宋_GB2312" w:cs="仿宋_GB2312"/>
          <w:sz w:val="32"/>
          <w:szCs w:val="32"/>
          <w:lang w:val="en-US" w:eastAsia="zh-CN"/>
        </w:rPr>
        <w:t>媒体艺术、艺术设计、动漫制作</w:t>
      </w:r>
      <w:r>
        <w:rPr>
          <w:rFonts w:hint="eastAsia" w:ascii="仿宋_GB2312" w:hAnsi="仿宋_GB2312" w:eastAsia="仿宋_GB2312" w:cs="仿宋_GB2312"/>
          <w:sz w:val="32"/>
          <w:szCs w:val="32"/>
        </w:rPr>
        <w:t>。</w:t>
      </w:r>
    </w:p>
    <w:p>
      <w:pPr>
        <w:pStyle w:val="16"/>
        <w:adjustRightInd w:val="0"/>
        <w:snapToGrid w:val="0"/>
        <w:spacing w:before="0" w:beforeAutospacing="0" w:after="0" w:afterAutospacing="0"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接续高职本科专业：视觉传达设计、影视摄影与制作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艺术设计</w:t>
      </w:r>
      <w:r>
        <w:rPr>
          <w:rFonts w:hint="eastAsia" w:ascii="仿宋_GB2312" w:hAnsi="仿宋_GB2312" w:eastAsia="仿宋_GB2312" w:cs="仿宋_GB2312"/>
          <w:sz w:val="32"/>
          <w:szCs w:val="32"/>
        </w:rPr>
        <w:t>。</w:t>
      </w:r>
    </w:p>
    <w:p>
      <w:pPr>
        <w:pStyle w:val="16"/>
        <w:adjustRightInd w:val="0"/>
        <w:snapToGrid w:val="0"/>
        <w:spacing w:before="0" w:beforeAutospacing="0" w:after="0" w:afterAutospacing="0" w:line="560" w:lineRule="exact"/>
        <w:ind w:firstLine="640"/>
        <w:outlineLvl w:val="0"/>
        <w:rPr>
          <w:rFonts w:ascii="楷体_GB2312" w:hAnsi="仿宋_GB2312" w:eastAsia="楷体_GB2312" w:cs="仿宋_GB2312"/>
          <w:sz w:val="32"/>
          <w:szCs w:val="32"/>
        </w:rPr>
      </w:pPr>
      <w:bookmarkStart w:id="7" w:name="_Toc30985"/>
      <w:r>
        <w:rPr>
          <w:rFonts w:hint="eastAsia" w:ascii="黑体" w:hAnsi="黑体" w:eastAsia="黑体" w:cs="黑体"/>
          <w:sz w:val="32"/>
          <w:szCs w:val="32"/>
        </w:rPr>
        <w:t>六、培养目标与培养规格</w:t>
      </w:r>
      <w:bookmarkEnd w:id="7"/>
    </w:p>
    <w:p>
      <w:pPr>
        <w:widowControl/>
        <w:shd w:val="clear" w:color="auto" w:fill="FFFFFF"/>
        <w:spacing w:line="560" w:lineRule="exact"/>
        <w:ind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8" w:name="_Toc32382"/>
      <w:r>
        <w:rPr>
          <w:rFonts w:hint="eastAsia" w:ascii="楷体_GB2312" w:hAnsi="楷体_GB2312" w:eastAsia="楷体_GB2312" w:cs="楷体_GB2312"/>
          <w:kern w:val="0"/>
          <w:sz w:val="32"/>
          <w:szCs w:val="32"/>
          <w:shd w:val="clear" w:color="auto" w:fill="FFFFFF"/>
          <w:lang w:bidi="ar"/>
        </w:rPr>
        <w:t>（一）培养目标</w:t>
      </w:r>
      <w:bookmarkEnd w:id="8"/>
    </w:p>
    <w:p>
      <w:pPr>
        <w:widowControl/>
        <w:shd w:val="clear" w:color="auto" w:fill="FFFFFF"/>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本专业培养适应社会主义现代化建设需要，以立德树人为根本，践行社会主义核心价值观，理想信念坚定，德技并修、德智体美劳全面发展，具有一定的科学文化水平，良好的人文素养、职业道德和创新意识，精益求精的工匠精神，爱岗敬业的劳动态度，较高的信息素养，较强的就业能力和可持续发展能力；掌握扎实的科学文化基础和平面设计、摄影摄像技术、版式设计等专业知识；具备图形图像处理、广告制作、数码照片艺术处理、网页设计与制作等能力，面向广告传媒类企业的图像处理员、业务员、平面广告设计员、网页设计员、影视后期编辑员等岗位上，能够从事图形图像处理、计算机平面设计、广告设计与制作、包装设计与制作、网页美工等工作的高素质技术技能人才。</w:t>
      </w:r>
    </w:p>
    <w:p>
      <w:pPr>
        <w:widowControl/>
        <w:shd w:val="clear" w:color="auto" w:fill="FFFFFF"/>
        <w:spacing w:line="560" w:lineRule="exact"/>
        <w:ind w:firstLine="640" w:firstLineChars="200"/>
        <w:jc w:val="left"/>
        <w:outlineLvl w:val="1"/>
        <w:rPr>
          <w:rFonts w:hint="eastAsia" w:ascii="楷体_GB2312" w:hAnsi="楷体_GB2312" w:eastAsia="楷体_GB2312" w:cs="楷体_GB2312"/>
          <w:sz w:val="32"/>
          <w:szCs w:val="32"/>
        </w:rPr>
      </w:pPr>
      <w:bookmarkStart w:id="9" w:name="_Toc10031"/>
      <w:r>
        <w:rPr>
          <w:rFonts w:hint="eastAsia" w:ascii="楷体_GB2312" w:hAnsi="楷体_GB2312" w:eastAsia="楷体_GB2312" w:cs="楷体_GB2312"/>
          <w:kern w:val="0"/>
          <w:sz w:val="32"/>
          <w:szCs w:val="32"/>
          <w:shd w:val="clear" w:color="auto" w:fill="FFFFFF"/>
          <w:lang w:bidi="ar"/>
        </w:rPr>
        <w:t>（</w:t>
      </w:r>
      <w:r>
        <w:rPr>
          <w:rFonts w:hint="eastAsia" w:ascii="楷体_GB2312" w:hAnsi="楷体_GB2312" w:eastAsia="楷体_GB2312" w:cs="楷体_GB2312"/>
          <w:sz w:val="32"/>
          <w:szCs w:val="32"/>
        </w:rPr>
        <w:t>二）培养规格</w:t>
      </w:r>
      <w:bookmarkEnd w:id="9"/>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1.素质要求</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具有正确的世界观、人生观和价值观。坚定拥护中国共产党领导和中国特色社会主义制度，在习近平新时代中国特色社会主义思想指引下，树立社会主义共同理想，践行社会主义核心价值观，具有深厚的爱国情感、国家认同感和中华民族自豪感。</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（2）崇尚宪法、遵法守纪、崇德向善、诚实守信、尊重生命、热爱劳动，履行道德准则和法律规范，具有社会责任感和社会参与意识。</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（3）具有良好的职业道德和职业素养。崇德向善、诚实守信、爱岗敬业、具有精益求精德工匠精神；尊重劳动、热爱劳动、具有较强德实践能力。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（4）具有较强的人际交往能力，沟通协调能力，团队合作精神、创新和服务意识。</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（5）具有质量意识、绿色环保意识、安全意识、信息素养、创新精神，文明生产意识，严格遵守操作规程。</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（6）具有良好的身心素质和人文素养，具有健康的体魄和心理、健全的人格，能够掌握基本运动技能，具有感受美、表现美、鉴赏美、创造美的能力。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（7）具有良好的生活习惯、行为习惯和自我管理能力，具有职业生涯规划意识和可持续发展能力。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2.知识要求</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（1）掌握中等职业学校学生必备的思想政治、语文、数学、英语、信息技术、艺术、体育与健康和中华优秀传统文化等知识。</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（2）熟悉与本专业相关的法律法规以及环境保护、安全消防和安全防护等知识。</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（3）掌握计算机主流操作系统、网络、常用办公及工具软件的基本应用方法；</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（4）理解并掌握素描和色彩的基础知识，掌握三大构成的基础知识；</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（5）掌握平面设计中关于风格理念、创意表现、版式设定、文字编排、色彩运用等方面的理论知识以及设计技巧和方法；</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掌握使用计算机处理图形图像、影音编辑与制作的方法；</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（7）掌握图形图像处理的高级操作技能，能使用主流平面设计软件进行图形绘制、图文编辑、图像处理、网页美工、标志制作等。</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3.能力要求</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（1）具备合作探究、终身学习、分析和解决问题能力。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（2）具备良好的语言文字表达能力和沟通能力。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（3）具备本专业必需的信息技术应用和维护能力。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（4）具备绘制草图表达设计思想的能力；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（5）具备计算机图形图像处理、矢量绘图的能力；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（6）具备摄影摄像技术、数码照片艺术处理的能力；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（7）具备图文排版的能力；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（8）具备平面设计的能力；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（9）具备广告制作、网页设计与制作、网页美工等能力；</w:t>
      </w:r>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（10）具有终身学习和可持续发展的能力。</w:t>
      </w:r>
    </w:p>
    <w:p>
      <w:pPr>
        <w:adjustRightInd w:val="0"/>
        <w:snapToGrid w:val="0"/>
        <w:spacing w:line="560" w:lineRule="exact"/>
        <w:ind w:firstLine="640" w:firstLineChars="200"/>
        <w:outlineLvl w:val="0"/>
        <w:rPr>
          <w:rFonts w:ascii="黑体" w:hAnsi="黑体" w:eastAsia="黑体" w:cs="黑体"/>
          <w:kern w:val="0"/>
          <w:sz w:val="32"/>
          <w:szCs w:val="32"/>
        </w:rPr>
      </w:pPr>
      <w:bookmarkStart w:id="10" w:name="_Toc10847"/>
      <w:r>
        <w:rPr>
          <w:rFonts w:hint="eastAsia" w:ascii="黑体" w:hAnsi="黑体" w:eastAsia="黑体" w:cs="黑体"/>
          <w:kern w:val="0"/>
          <w:sz w:val="32"/>
          <w:szCs w:val="32"/>
        </w:rPr>
        <w:t>七、课程结构框架</w:t>
      </w:r>
      <w:bookmarkEnd w:id="10"/>
    </w:p>
    <w:p>
      <w:pPr>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遵循规范、引领、实用的原则，全面推进专业课程的系统性改革。用新时代职业教育课程开发理念和方法，以学生为中心，以能力培养为重点，系统设计专业课程。全面梳理专业对应的职业岗位（群）对人才的专业知识、职业素质和职业能力要求，以典型工作任务为主线，注重与产业、企业和岗位对接，与行业规范和职业标准对接，整合课程，构建专业人才培养课程体系。</w:t>
      </w:r>
    </w:p>
    <w:p>
      <w:pPr>
        <w:adjustRightInd w:val="0"/>
        <w:snapToGrid w:val="0"/>
        <w:spacing w:line="520" w:lineRule="exact"/>
        <w:ind w:firstLine="640" w:firstLineChars="200"/>
        <w:outlineLvl w:val="0"/>
        <w:rPr>
          <w:rFonts w:ascii="黑体" w:hAnsi="黑体" w:eastAsia="黑体" w:cs="黑体"/>
          <w:kern w:val="0"/>
          <w:sz w:val="32"/>
          <w:szCs w:val="32"/>
        </w:rPr>
      </w:pPr>
      <w:bookmarkStart w:id="11" w:name="_Toc28601"/>
      <w:r>
        <w:rPr>
          <w:rFonts w:hint="eastAsia" w:ascii="黑体" w:hAnsi="黑体" w:eastAsia="黑体" w:cs="黑体"/>
          <w:kern w:val="0"/>
          <w:sz w:val="32"/>
          <w:szCs w:val="32"/>
        </w:rPr>
        <w:t>八、课程设置及要求</w:t>
      </w:r>
      <w:bookmarkEnd w:id="11"/>
    </w:p>
    <w:p>
      <w:pPr>
        <w:autoSpaceDN w:val="0"/>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主要包括公共基础课程和专业（技能）课程两类。公</w:t>
      </w:r>
      <w:r>
        <w:rPr>
          <w:rFonts w:hint="eastAsia" w:ascii="仿宋_GB2312" w:hAnsi="仿宋_GB2312" w:eastAsia="仿宋_GB2312" w:cs="仿宋_GB2312"/>
          <w:spacing w:val="-6"/>
          <w:sz w:val="32"/>
          <w:szCs w:val="32"/>
        </w:rPr>
        <w:t>共基础</w:t>
      </w:r>
      <w:r>
        <w:rPr>
          <w:rFonts w:hint="eastAsia" w:ascii="仿宋_GB2312" w:hAnsi="仿宋_GB2312" w:eastAsia="仿宋_GB2312" w:cs="仿宋_GB2312"/>
          <w:sz w:val="32"/>
          <w:szCs w:val="32"/>
        </w:rPr>
        <w:t>课程包括</w:t>
      </w:r>
      <w:r>
        <w:rPr>
          <w:rFonts w:hint="eastAsia" w:ascii="仿宋_GB2312" w:hAnsi="仿宋_GB2312" w:eastAsia="仿宋_GB2312" w:cs="仿宋_GB2312"/>
          <w:spacing w:val="-6"/>
          <w:sz w:val="32"/>
          <w:szCs w:val="32"/>
        </w:rPr>
        <w:t>必修</w:t>
      </w:r>
      <w:r>
        <w:rPr>
          <w:rFonts w:hint="eastAsia" w:ascii="仿宋_GB2312" w:hAnsi="仿宋_GB2312" w:eastAsia="仿宋_GB2312" w:cs="仿宋_GB2312"/>
          <w:sz w:val="32"/>
          <w:szCs w:val="32"/>
        </w:rPr>
        <w:t>课</w:t>
      </w:r>
      <w:r>
        <w:rPr>
          <w:rFonts w:hint="eastAsia" w:ascii="仿宋_GB2312" w:hAnsi="仿宋_GB2312" w:eastAsia="仿宋_GB2312" w:cs="仿宋_GB2312"/>
          <w:spacing w:val="-6"/>
          <w:sz w:val="32"/>
          <w:szCs w:val="32"/>
        </w:rPr>
        <w:t>和限定选修课、任意选修课</w:t>
      </w:r>
      <w:r>
        <w:rPr>
          <w:rFonts w:hint="eastAsia" w:ascii="仿宋_GB2312" w:hAnsi="仿宋_GB2312" w:eastAsia="仿宋_GB2312" w:cs="仿宋_GB2312"/>
          <w:sz w:val="32"/>
          <w:szCs w:val="32"/>
        </w:rPr>
        <w:t>；专业（技能）课程包括专业基础课、专业核心课、专业拓展课和实习实训等。</w:t>
      </w:r>
    </w:p>
    <w:p>
      <w:pPr>
        <w:adjustRightInd w:val="0"/>
        <w:snapToGrid w:val="0"/>
        <w:spacing w:line="520" w:lineRule="exact"/>
        <w:ind w:firstLine="640" w:firstLineChars="200"/>
        <w:outlineLvl w:val="1"/>
        <w:rPr>
          <w:rFonts w:hint="eastAsia" w:ascii="楷体_GB2312" w:hAnsi="楷体_GB2312" w:eastAsia="楷体_GB2312" w:cs="楷体_GB2312"/>
          <w:sz w:val="32"/>
          <w:szCs w:val="32"/>
        </w:rPr>
      </w:pPr>
      <w:bookmarkStart w:id="12" w:name="_Toc7899"/>
      <w:r>
        <w:rPr>
          <w:rFonts w:hint="eastAsia" w:ascii="楷体_GB2312" w:hAnsi="楷体_GB2312" w:eastAsia="楷体_GB2312" w:cs="楷体_GB2312"/>
          <w:sz w:val="32"/>
          <w:szCs w:val="32"/>
        </w:rPr>
        <w:t>（一）公共基础课程</w:t>
      </w:r>
      <w:bookmarkEnd w:id="12"/>
    </w:p>
    <w:p>
      <w:pPr>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等职业学校公共基础课程方案》的规定，将中国特色社会主义、心理健康与职业生涯、哲学与人生、职业道德与法治、语文、历史、数学、英语、信息技术、体育与健康、艺术、劳动教育等列为公共基础必修课程，将物理列为部分专业必修课程，将中华优秀传统文化教育、安全教育、语文（职业模块）、数学（拓展模块）等列为限定选修课。</w:t>
      </w: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adjustRightInd w:val="0"/>
        <w:snapToGrid w:val="0"/>
        <w:spacing w:line="520" w:lineRule="exact"/>
        <w:ind w:firstLine="640" w:firstLineChars="200"/>
        <w:rPr>
          <w:rFonts w:hint="eastAsia" w:ascii="仿宋_GB2312" w:hAnsi="仿宋_GB2312" w:eastAsia="仿宋_GB2312" w:cs="仿宋_GB2312"/>
          <w:sz w:val="32"/>
          <w:szCs w:val="32"/>
        </w:rPr>
      </w:pPr>
    </w:p>
    <w:p>
      <w:pPr>
        <w:jc w:val="center"/>
        <w:rPr>
          <w:rFonts w:ascii="仿宋" w:hAnsi="仿宋" w:eastAsia="仿宋" w:cs="仿宋"/>
          <w:sz w:val="24"/>
        </w:rPr>
      </w:pPr>
      <w:r>
        <w:rPr>
          <w:rFonts w:hint="eastAsia" w:ascii="黑体" w:hAnsi="黑体" w:eastAsia="黑体" w:cs="黑体"/>
          <w:sz w:val="24"/>
        </w:rPr>
        <w:t>表2  公共基础必修课程教学内容与要求</w:t>
      </w:r>
    </w:p>
    <w:tbl>
      <w:tblPr>
        <w:tblStyle w:val="18"/>
        <w:tblW w:w="10065" w:type="dxa"/>
        <w:tblInd w:w="-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0"/>
        <w:gridCol w:w="1395"/>
        <w:gridCol w:w="6855"/>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690"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395"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6855" w:type="dxa"/>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1125" w:type="dxa"/>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0" w:hRule="atLeast"/>
        </w:trPr>
        <w:tc>
          <w:tcPr>
            <w:tcW w:w="690" w:type="dxa"/>
            <w:vAlign w:val="center"/>
          </w:tcPr>
          <w:p>
            <w:pPr>
              <w:pStyle w:val="7"/>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395" w:type="dxa"/>
            <w:vAlign w:val="center"/>
          </w:tcPr>
          <w:p>
            <w:pPr>
              <w:pStyle w:val="7"/>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中国特色</w:t>
            </w:r>
          </w:p>
          <w:p>
            <w:pPr>
              <w:pStyle w:val="7"/>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社会主义</w:t>
            </w:r>
          </w:p>
        </w:tc>
        <w:tc>
          <w:tcPr>
            <w:tcW w:w="6855" w:type="dxa"/>
            <w:vAlign w:val="center"/>
          </w:tcPr>
          <w:p>
            <w:pPr>
              <w:spacing w:line="40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中国特色社会主义的开创与发展，明确中国特色社会主义进入新时代的历史方位，阐明中国特色社会主义建设“五位一体”总体布局的基本内容，通过学习，引导学生要结合社会实践和自身实际，树立对马克思主义的信仰、对中国特色社会主义的信念，对中华民族伟大复兴中国梦的信心，坚定中国特色主义道路自信、理论自信、制度自信、文化自信，把爱国情、强国志、报国行自觉融入坚持和发展中国特色社会主义事业、建设社会主义现代化强国，实现中华民族伟大复兴的奋斗之中。</w:t>
            </w:r>
          </w:p>
        </w:tc>
        <w:tc>
          <w:tcPr>
            <w:tcW w:w="1125" w:type="dxa"/>
            <w:vAlign w:val="center"/>
          </w:tcPr>
          <w:p>
            <w:pPr>
              <w:autoSpaceDE w:val="0"/>
              <w:autoSpaceDN w:val="0"/>
              <w:adjustRightInd w:val="0"/>
              <w:snapToGrid w:val="0"/>
              <w:spacing w:line="440" w:lineRule="atLeast"/>
              <w:jc w:val="center"/>
              <w:rPr>
                <w:rFonts w:ascii="仿宋_GB2312" w:hAnsi="仿宋_GB2312" w:eastAsia="仿宋_GB2312" w:cs="仿宋_GB2312"/>
                <w:szCs w:val="21"/>
              </w:rPr>
            </w:pPr>
            <w:r>
              <w:rPr>
                <w:rFonts w:hint="eastAsia" w:ascii="仿宋_GB2312" w:hAnsi="仿宋_GB2312" w:eastAsia="仿宋_GB2312" w:cs="仿宋_GB2312"/>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0" w:hRule="atLeast"/>
        </w:trPr>
        <w:tc>
          <w:tcPr>
            <w:tcW w:w="690" w:type="dxa"/>
            <w:vAlign w:val="center"/>
          </w:tcPr>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395" w:type="dxa"/>
            <w:vAlign w:val="center"/>
          </w:tcPr>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心理健康与</w:t>
            </w:r>
          </w:p>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职业生涯</w:t>
            </w:r>
          </w:p>
        </w:tc>
        <w:tc>
          <w:tcPr>
            <w:tcW w:w="6855" w:type="dxa"/>
            <w:vAlign w:val="center"/>
          </w:tcPr>
          <w:p>
            <w:pPr>
              <w:pStyle w:val="7"/>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职业生涯发展环境和职业规划，正确认识自我、正确认识职业理想和现实的关系，了解个体生理与心理特点差异，情绪的基本特征和成因，职业群及演变趋势、立足专业，谋划发展等。通过学习，引导学生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的能力，掌握制定和执行职业生涯规划的方法，提升职业素养，为顺利就业创业创造条件。</w:t>
            </w:r>
          </w:p>
        </w:tc>
        <w:tc>
          <w:tcPr>
            <w:tcW w:w="1125" w:type="dxa"/>
            <w:vAlign w:val="center"/>
          </w:tcPr>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690" w:type="dxa"/>
            <w:vAlign w:val="center"/>
          </w:tcPr>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395" w:type="dxa"/>
            <w:vAlign w:val="center"/>
          </w:tcPr>
          <w:p>
            <w:pPr>
              <w:pStyle w:val="7"/>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哲学与人生</w:t>
            </w:r>
          </w:p>
        </w:tc>
        <w:tc>
          <w:tcPr>
            <w:tcW w:w="6855" w:type="dxa"/>
            <w:vAlign w:val="center"/>
          </w:tcPr>
          <w:p>
            <w:pPr>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本课程主要阐述了马克思主义哲学是科学的世界观和方法论，讲述辩证唯物主义和历史唯物主义的基本观点及其对人生成长的意义。阐述社会生活及个人成长中进行正确的价值判断和行为选择的意义、社会主义核心价值观内涵等。通过本课程学习，学生能够了解马克思主义哲学的基本原理，运用辩证唯物主义和历史唯物主义的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c>
          <w:tcPr>
            <w:tcW w:w="1125" w:type="dxa"/>
            <w:vAlign w:val="center"/>
          </w:tcPr>
          <w:p>
            <w:pPr>
              <w:autoSpaceDE w:val="0"/>
              <w:autoSpaceDN w:val="0"/>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0" w:hRule="atLeast"/>
        </w:trPr>
        <w:tc>
          <w:tcPr>
            <w:tcW w:w="690" w:type="dxa"/>
            <w:vAlign w:val="center"/>
          </w:tcPr>
          <w:p>
            <w:pPr>
              <w:pStyle w:val="7"/>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395" w:type="dxa"/>
            <w:vAlign w:val="center"/>
          </w:tcPr>
          <w:p>
            <w:pPr>
              <w:pStyle w:val="7"/>
              <w:adjustRightInd w:val="0"/>
              <w:snapToGrid w:val="0"/>
              <w:spacing w:line="440" w:lineRule="exac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职业道德与</w:t>
            </w:r>
          </w:p>
          <w:p>
            <w:pPr>
              <w:pStyle w:val="7"/>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法治</w:t>
            </w:r>
          </w:p>
        </w:tc>
        <w:tc>
          <w:tcPr>
            <w:tcW w:w="6855" w:type="dxa"/>
            <w:vAlign w:val="center"/>
          </w:tcPr>
          <w:p>
            <w:pPr>
              <w:overflowPunct w:val="0"/>
              <w:adjustRightInd w:val="0"/>
              <w:snapToGri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思想政治课程标准》的教学要求开设。课程主要阐述了公民基本道德、社会道德、职业道德、家庭道德等规范，感受道德力量，引导学生践行职业道德规范，提升职业道德境界，坚持全面依法治国，维护宪法权威，遵循法律法规。通过本课程学习，学生能够理解全面依法治国的总目标、了解我国新时代加强公民道德检核、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c>
          <w:tcPr>
            <w:tcW w:w="1125" w:type="dxa"/>
            <w:vAlign w:val="center"/>
          </w:tcPr>
          <w:p>
            <w:pPr>
              <w:autoSpaceDE w:val="0"/>
              <w:autoSpaceDN w:val="0"/>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0"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语文</w:t>
            </w:r>
          </w:p>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widowControl/>
              <w:adjustRightInd w:val="0"/>
              <w:spacing w:line="4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kern w:val="0"/>
                <w:szCs w:val="21"/>
                <w:lang w:val="zh-CN"/>
              </w:rPr>
              <w:t>按照教育部颁布的《中等职业学校语文课程标准》的要求开设。通过</w:t>
            </w:r>
            <w:r>
              <w:rPr>
                <w:rFonts w:hint="eastAsia" w:ascii="仿宋_GB2312" w:hAnsi="仿宋_GB2312" w:eastAsia="仿宋_GB2312" w:cs="仿宋_GB2312"/>
                <w:kern w:val="0"/>
                <w:szCs w:val="21"/>
              </w:rPr>
              <w:t>语感与语言习得、中外文学作品选读、实用性阅读与交流、古代诗文选读、中国革命传统作品选读、社会主义先进文化作品选读、整本书阅读与研讨、跨媒介阅读与交流等专题内容的学习，引导学生根据真实的语言运用情境，开展自主的言语实践活动，积累言语经验，把握祖国语言文字的特点和运用规律，提高运用祖国语言文字的能力，理解与热爱祖国语言文字，发展思维能力，提升思维品质，培养健康的审美情趣，积累丰厚的文化底蕴，传承和弘扬中华优秀文化，接受人类进步文化，形成良好的思想道德品质、科学素养和人文素养，为学生学好专业知识与技能，提高就业创业能力和终身发展能力，成为全面发展的高素质劳动者和技术技能人才奠定基础。</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5"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6</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数学</w:t>
            </w:r>
          </w:p>
          <w:p>
            <w:pPr>
              <w:pStyle w:val="7"/>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42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数学课程标准》的教学要求开设。落实数学学科核心素养与教学目标。通过学习函数、几何与代数、概率与统计等内容，使学生获得继续学习、未来工作和发展所必需的数学基础知识、基本技能、基本思想和基本活动经验，具备一定的从数学角度发现和提出问题的能力、运用数学知识和思想方法分析和解决问题的能力。教学中要注意知识衔接，激发学习兴趣，增强学习主动性和自信心，不断塑造科学精神和工匠精神，培养创新意识，促进学生德智体美劳全面发展。</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5"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7</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英语</w:t>
            </w:r>
          </w:p>
          <w:p>
            <w:pPr>
              <w:pStyle w:val="7"/>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widowControl/>
              <w:adjustRightInd w:val="0"/>
              <w:snapToGrid w:val="0"/>
              <w:spacing w:line="42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按照教育部颁布的《中等职业学校英语课程标准》的教学要求开设。</w:t>
            </w:r>
            <w:r>
              <w:rPr>
                <w:rFonts w:hint="eastAsia" w:ascii="仿宋_GB2312" w:hAnsi="仿宋_GB2312" w:eastAsia="仿宋_GB2312" w:cs="仿宋_GB2312"/>
                <w:kern w:val="0"/>
                <w:szCs w:val="21"/>
              </w:rPr>
              <w:t>。通过学习基础模块和职业模块中的主题、语篇类型、语言知识、文化知识、语言技能、语言策略等课程内容，培养学生的职场语言沟通、思维差异感知、跨文化理解及自主学习等英语学科核心素养，提高学生的语篇理解能力和有效沟通能力，引导学生感知多元文化背景下思维方式的多样性；增强国际理解，坚定文化自信，为学生的职业生涯、继续学习和终身发展奠定基础。</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trPr>
        <w:tc>
          <w:tcPr>
            <w:tcW w:w="690"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8</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信息技术</w:t>
            </w:r>
          </w:p>
          <w:p>
            <w:pPr>
              <w:autoSpaceDE w:val="0"/>
              <w:autoSpaceDN w:val="0"/>
              <w:adjustRightInd w:val="0"/>
              <w:snapToGrid w:val="0"/>
              <w:spacing w:line="400" w:lineRule="atLeas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按照教育部颁布的《中等职业学校信息技术课程标准》的教学要求开设</w:t>
            </w:r>
            <w:r>
              <w:rPr>
                <w:rFonts w:hint="eastAsia" w:ascii="仿宋_GB2312" w:hAnsi="仿宋_GB2312" w:eastAsia="仿宋_GB2312" w:cs="仿宋_GB2312"/>
                <w:kern w:val="0"/>
                <w:szCs w:val="21"/>
              </w:rPr>
              <w:t>。</w:t>
            </w:r>
            <w:r>
              <w:rPr>
                <w:rFonts w:hint="eastAsia" w:ascii="仿宋_GB2312" w:hAnsi="仿宋_GB2312" w:eastAsia="仿宋_GB2312" w:cs="仿宋_GB2312"/>
                <w:szCs w:val="21"/>
              </w:rPr>
              <w:t>落实课程标准规定的核心素养与教学目标要求，对接信息技术的最新发展与应用，结合职业岗位要求和专业能力发展需要，重点培养支撑学生终身发展、适应时代要求的信息素养。引导学生通过多种形式的学习活动，在学习信息技术基础知识、基本技能的过程中，提升认知、合作与创新能力，培养适应职业发展需要的信息能力。</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5"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9</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历史</w:t>
            </w:r>
          </w:p>
          <w:p>
            <w:pPr>
              <w:pStyle w:val="7"/>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kern w:val="0"/>
                <w:szCs w:val="21"/>
              </w:rPr>
              <w:t>按照教育部颁布的《中等职业学校历史课程标准》的教学要求开设。落实课程标准规定的核心素养与教学目标要求，促进学生进一步了解人类社会形态的基本脉络、基本规律和优秀文化成果；从历史的角度了解和思考人与人、人与社会、人与自然的关系，增强历史使命感和社会责任感；培育和践行社会主义核心价值观，进一步弘扬以爱国主义为核心的民族精神和以改革创新为核心的时代精神；培养健全的人格和职业精神，树立正确的历史观和价值观，形成历史学科核心素养。</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0"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10</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体育与健康</w:t>
            </w:r>
          </w:p>
          <w:p>
            <w:pPr>
              <w:pStyle w:val="7"/>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8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kern w:val="0"/>
                <w:szCs w:val="21"/>
              </w:rPr>
              <w:t>按照教育部颁布的《中等职业学校体育与健康课程标准》的教学要求开设。坚持落实立德树人的根本任务，以体育人，增强体质，健全人格、锤炼意志。通过学习体育健康知识、技能与方法，提高与未来职业相关的体能和运动技能水平，学会科学锻炼方法，树立健康观念，形成健康行为和生活方式，具备身心健康和职业生涯发展必备的学科核心素养。</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5" w:hRule="atLeast"/>
        </w:trPr>
        <w:tc>
          <w:tcPr>
            <w:tcW w:w="690" w:type="dxa"/>
            <w:vAlign w:val="center"/>
          </w:tcPr>
          <w:p>
            <w:pPr>
              <w:pStyle w:val="7"/>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rPr>
              <w:t>11</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艺术</w:t>
            </w:r>
          </w:p>
          <w:p>
            <w:pPr>
              <w:pStyle w:val="7"/>
              <w:spacing w:line="400" w:lineRule="atLeast"/>
              <w:rPr>
                <w:rFonts w:ascii="仿宋_GB2312" w:hAnsi="仿宋_GB2312" w:eastAsia="仿宋_GB2312" w:cs="仿宋_GB2312"/>
                <w:szCs w:val="21"/>
              </w:rPr>
            </w:pPr>
            <w:r>
              <w:rPr>
                <w:rFonts w:hint="eastAsia" w:ascii="仿宋_GB2312" w:hAnsi="仿宋_GB2312" w:eastAsia="仿宋_GB2312" w:cs="仿宋_GB2312"/>
                <w:kern w:val="0"/>
                <w:szCs w:val="21"/>
                <w:lang w:val="zh-CN"/>
              </w:rPr>
              <w:t>（</w:t>
            </w:r>
            <w:r>
              <w:rPr>
                <w:rFonts w:hint="eastAsia" w:ascii="仿宋_GB2312" w:hAnsi="仿宋_GB2312" w:eastAsia="仿宋_GB2312" w:cs="仿宋_GB2312"/>
                <w:kern w:val="0"/>
                <w:szCs w:val="21"/>
              </w:rPr>
              <w:t>基础模块）</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按照教育部颁布的《中等职业学校艺术课程标准》的教学要求开设</w:t>
            </w:r>
            <w:r>
              <w:rPr>
                <w:rFonts w:hint="eastAsia" w:ascii="仿宋_GB2312" w:hAnsi="仿宋_GB2312" w:eastAsia="仿宋_GB2312" w:cs="仿宋_GB2312"/>
                <w:kern w:val="0"/>
                <w:szCs w:val="21"/>
              </w:rPr>
              <w:t>。</w:t>
            </w:r>
            <w:r>
              <w:rPr>
                <w:rFonts w:hint="eastAsia" w:ascii="仿宋_GB2312" w:hAnsi="仿宋_GB2312" w:eastAsia="仿宋_GB2312" w:cs="仿宋_GB2312"/>
                <w:szCs w:val="21"/>
              </w:rPr>
              <w:t>落实课程标准规定的核心素养与教学目标要求，重点培养学生的艺术感知、审美判断、创意表达和文化理解。充分发挥艺术学科独特的育人功能，通过观赏、体验、联系、比较、讨论等形式的学习方法，进一步积累和掌握艺术的基础知识、基本技能和方法，培养学生感受美、鉴赏美、表现美、创造美的能力，帮助学生增进文化认同，坚定文化自信，成为德智体美劳全面发展的高素质劳动者和技术技能人才。</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szCs w:val="21"/>
              </w:rPr>
            </w:pPr>
            <w:r>
              <w:rPr>
                <w:rFonts w:hint="eastAsia" w:ascii="仿宋_GB2312" w:hAnsi="仿宋_GB2312" w:eastAsia="仿宋_GB2312" w:cs="仿宋_GB2312"/>
                <w:kern w:val="0"/>
                <w:szCs w:val="21"/>
                <w:lang w:val="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5" w:hRule="atLeast"/>
        </w:trPr>
        <w:tc>
          <w:tcPr>
            <w:tcW w:w="690"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12</w:t>
            </w:r>
          </w:p>
        </w:tc>
        <w:tc>
          <w:tcPr>
            <w:tcW w:w="1395" w:type="dxa"/>
            <w:vAlign w:val="center"/>
          </w:tcPr>
          <w:p>
            <w:pPr>
              <w:autoSpaceDE w:val="0"/>
              <w:autoSpaceDN w:val="0"/>
              <w:adjustRightInd w:val="0"/>
              <w:snapToGrid w:val="0"/>
              <w:spacing w:line="400" w:lineRule="atLeast"/>
              <w:ind w:left="-19" w:hanging="27"/>
              <w:jc w:val="center"/>
              <w:rPr>
                <w:rFonts w:ascii="仿宋_GB2312" w:hAnsi="仿宋_GB2312" w:eastAsia="仿宋_GB2312" w:cs="仿宋_GB2312"/>
                <w:kern w:val="0"/>
                <w:szCs w:val="21"/>
                <w:lang w:val="zh-CN"/>
              </w:rPr>
            </w:pPr>
            <w:r>
              <w:rPr>
                <w:rFonts w:hint="eastAsia" w:ascii="仿宋_GB2312" w:hAnsi="仿宋_GB2312" w:eastAsia="仿宋_GB2312" w:cs="仿宋_GB2312"/>
                <w:kern w:val="0"/>
                <w:szCs w:val="21"/>
                <w:lang w:val="zh-CN"/>
              </w:rPr>
              <w:t>劳动</w:t>
            </w:r>
            <w:r>
              <w:rPr>
                <w:rFonts w:hint="eastAsia" w:ascii="仿宋_GB2312" w:hAnsi="仿宋_GB2312" w:eastAsia="仿宋_GB2312" w:cs="仿宋_GB2312"/>
                <w:kern w:val="0"/>
                <w:szCs w:val="21"/>
              </w:rPr>
              <w:t>教育</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按照教育部颁布的《大中小学劳动教育指导纲要（试行）》的要求开设，是中职学校各专业必修课程。通过持续开展日常生活劳动，自我管理生活，提高劳动自立自强的意识和能力；通过定期开展校内外公益服务性劳动，做好校园环境秩序维护，运用专业技能为社会、为他人提供相关公益服务，培育社会公德，厚植爱国爱民的情怀；依托实习实训，参与真实的生产劳动和服务性劳动，增强职业认同感和劳动自豪感，培育精益求精的工匠精神和爱岗敬业的劳动态度。</w:t>
            </w:r>
          </w:p>
        </w:tc>
        <w:tc>
          <w:tcPr>
            <w:tcW w:w="1125" w:type="dxa"/>
            <w:vAlign w:val="center"/>
          </w:tcPr>
          <w:p>
            <w:pPr>
              <w:autoSpaceDE w:val="0"/>
              <w:autoSpaceDN w:val="0"/>
              <w:adjustRightInd w:val="0"/>
              <w:snapToGrid w:val="0"/>
              <w:spacing w:line="400" w:lineRule="atLeast"/>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72</w:t>
            </w:r>
          </w:p>
        </w:tc>
      </w:tr>
    </w:tbl>
    <w:p>
      <w:pPr>
        <w:adjustRightInd w:val="0"/>
        <w:snapToGrid w:val="0"/>
        <w:jc w:val="center"/>
        <w:rPr>
          <w:rFonts w:ascii="黑体" w:hAnsi="黑体" w:eastAsia="黑体" w:cs="黑体"/>
          <w:sz w:val="28"/>
          <w:szCs w:val="28"/>
        </w:rPr>
      </w:pPr>
    </w:p>
    <w:p>
      <w:pPr>
        <w:adjustRightInd w:val="0"/>
        <w:snapToGrid w:val="0"/>
        <w:jc w:val="center"/>
        <w:rPr>
          <w:rFonts w:ascii="黑体" w:hAnsi="黑体" w:eastAsia="黑体" w:cs="黑体"/>
          <w:sz w:val="28"/>
          <w:szCs w:val="28"/>
        </w:rPr>
      </w:pPr>
    </w:p>
    <w:p>
      <w:pPr>
        <w:adjustRightInd w:val="0"/>
        <w:snapToGrid w:val="0"/>
        <w:jc w:val="center"/>
        <w:rPr>
          <w:rFonts w:ascii="仿宋" w:hAnsi="仿宋" w:eastAsia="仿宋" w:cs="仿宋"/>
          <w:sz w:val="24"/>
        </w:rPr>
      </w:pPr>
      <w:r>
        <w:rPr>
          <w:rFonts w:hint="eastAsia" w:ascii="黑体" w:hAnsi="黑体" w:eastAsia="黑体" w:cs="黑体"/>
          <w:sz w:val="24"/>
        </w:rPr>
        <w:t>表3  公共基础选修课程教学内容与要求</w:t>
      </w:r>
    </w:p>
    <w:tbl>
      <w:tblPr>
        <w:tblStyle w:val="18"/>
        <w:tblpPr w:leftFromText="180" w:rightFromText="180" w:vertAnchor="text" w:horzAnchor="page" w:tblpX="1210" w:tblpY="630"/>
        <w:tblOverlap w:val="never"/>
        <w:tblW w:w="10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0"/>
        <w:gridCol w:w="1395"/>
        <w:gridCol w:w="6870"/>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720" w:type="dxa"/>
            <w:vAlign w:val="center"/>
          </w:tcPr>
          <w:p>
            <w:pPr>
              <w:jc w:val="center"/>
              <w:rPr>
                <w:rFonts w:ascii="黑体" w:hAnsi="黑体" w:eastAsia="黑体" w:cs="黑体"/>
                <w:szCs w:val="21"/>
              </w:rPr>
            </w:pPr>
            <w:r>
              <w:rPr>
                <w:rFonts w:hint="eastAsia" w:ascii="黑体" w:hAnsi="黑体" w:eastAsia="黑体" w:cs="黑体"/>
                <w:szCs w:val="21"/>
              </w:rPr>
              <w:t>序号</w:t>
            </w:r>
          </w:p>
        </w:tc>
        <w:tc>
          <w:tcPr>
            <w:tcW w:w="1395" w:type="dxa"/>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6870" w:type="dxa"/>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1125" w:type="dxa"/>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5" w:hRule="atLeast"/>
        </w:trPr>
        <w:tc>
          <w:tcPr>
            <w:tcW w:w="720"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1</w:t>
            </w:r>
          </w:p>
        </w:tc>
        <w:tc>
          <w:tcPr>
            <w:tcW w:w="139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中职生传统文化</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是公共基础限定选修课。课程围绕落实“立德树人”的根本任务，通过发挥传统文化“文以化人”的作用，让学生了解节日习俗，学习传统技艺，品鉴文学经典，感受德育故事，继承和发扬优秀传统文化，培养职业精神，塑造优秀品格，传承传统技艺，涵养家国情怀，形成正确的世界观、人生观和价值观，坚定文化自信、振奋民族精神，切实增强民族文化认同感，增强文化传承的自觉性，从而具有健康的情趣追求、优雅的审美意识和厚实的人文精神。</w:t>
            </w:r>
          </w:p>
        </w:tc>
        <w:tc>
          <w:tcPr>
            <w:tcW w:w="1125" w:type="dxa"/>
            <w:vAlign w:val="center"/>
          </w:tcPr>
          <w:p>
            <w:pPr>
              <w:autoSpaceDE w:val="0"/>
              <w:autoSpaceDN w:val="0"/>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0" w:hRule="atLeast"/>
        </w:trPr>
        <w:tc>
          <w:tcPr>
            <w:tcW w:w="720"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2</w:t>
            </w:r>
          </w:p>
        </w:tc>
        <w:tc>
          <w:tcPr>
            <w:tcW w:w="139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安全教育</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是公共基础限定选修课，课程主要覆盖国家安全、财产安全、网络安全、消防安全等；也包括“消防应急疏散演练”、“校园安全隐患排查”、“安全知识讲座”等实践项目。通过本课程教学，使学生掌握必要的安全知识和技能，使学生逐步形成安全保护能力，引导学生建立“珍爱生命、安全第一”的意识，具备基本的自救素养和能力。</w:t>
            </w:r>
          </w:p>
        </w:tc>
        <w:tc>
          <w:tcPr>
            <w:tcW w:w="1125" w:type="dxa"/>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0" w:hRule="atLeast"/>
        </w:trPr>
        <w:tc>
          <w:tcPr>
            <w:tcW w:w="720" w:type="dxa"/>
            <w:vAlign w:val="center"/>
          </w:tcPr>
          <w:p>
            <w:pPr>
              <w:pStyle w:val="7"/>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语文</w:t>
            </w:r>
          </w:p>
          <w:p>
            <w:pPr>
              <w:pStyle w:val="7"/>
              <w:spacing w:line="380" w:lineRule="exact"/>
              <w:rPr>
                <w:rFonts w:ascii="仿宋_GB2312" w:hAnsi="仿宋_GB2312" w:eastAsia="仿宋_GB2312" w:cs="仿宋_GB2312"/>
                <w:szCs w:val="21"/>
              </w:rPr>
            </w:pPr>
            <w:r>
              <w:rPr>
                <w:rFonts w:hint="eastAsia" w:ascii="仿宋_GB2312" w:hAnsi="仿宋_GB2312" w:eastAsia="仿宋_GB2312" w:cs="仿宋_GB2312"/>
                <w:kern w:val="0"/>
                <w:szCs w:val="21"/>
              </w:rPr>
              <w:t>（职业模块）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语文限定选修模块，是要通过劳动精神工匠精神作品研读、职场应用写作与交流、微写作合科普作品选读四个专题教学，引导学生领悟劳动光荣、技能宝贵、创造伟大的时代风尚，培育劳动精神、弘扬工匠精神和劳模精神，培养学生职场应用写作能力，洽谈和协商能力、求职和应聘能力，引导学生学习微写作和阅读科普作品，扩大视野，提高解决生活实际问题和培养科学态度。</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5" w:hRule="atLeast"/>
        </w:trPr>
        <w:tc>
          <w:tcPr>
            <w:tcW w:w="720" w:type="dxa"/>
            <w:vAlign w:val="center"/>
          </w:tcPr>
          <w:p>
            <w:pPr>
              <w:pStyle w:val="7"/>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4</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数学</w:t>
            </w:r>
          </w:p>
          <w:p>
            <w:pPr>
              <w:pStyle w:val="7"/>
              <w:spacing w:line="380" w:lineRule="exact"/>
              <w:rPr>
                <w:rFonts w:ascii="仿宋_GB2312" w:hAnsi="仿宋_GB2312" w:eastAsia="仿宋_GB2312" w:cs="仿宋_GB2312"/>
                <w:szCs w:val="21"/>
              </w:rPr>
            </w:pPr>
            <w:r>
              <w:rPr>
                <w:rFonts w:hint="eastAsia" w:ascii="仿宋_GB2312" w:hAnsi="仿宋_GB2312" w:eastAsia="仿宋_GB2312" w:cs="仿宋_GB2312"/>
                <w:kern w:val="0"/>
                <w:szCs w:val="21"/>
              </w:rPr>
              <w:t>（拓展模块）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数学限定选修模块，分拓展模块一和拓展模块二，拓展一主要涵盖充要条件、函数（三角计算、数列）、几何与代数（平面向量、圆锥曲线、立体几何、复数）和概率与统计（排列组合、随机变量及其分布、统计）；拓展二涵盖数学文化专题、数学建模专题、数学工具专题等七个专题和数学与艺术、数学与体育、数学与军事等五个数学案例。通过学习帮助学生感悟数学在生活、政治、经济、科学等领域的广泛应用，提升学生运用数学知识解决实际问题的能力。</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trPr>
        <w:tc>
          <w:tcPr>
            <w:tcW w:w="720"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5</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英语</w:t>
            </w:r>
          </w:p>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（职业模块）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英语限定选修模块，主要包涵求职应聘、职场礼仪、职场服务、设备操作、技术应用、职场安全、危机应对、职业规划等8个主题，通过教学，让学生在不同职业场景中了解西方语言用词、结构和篇章逻辑的不同，提高职场语言沟通能力，增强职业意识，促进其未来职业发展。</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2" w:hRule="atLeast"/>
        </w:trPr>
        <w:tc>
          <w:tcPr>
            <w:tcW w:w="720"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6</w:t>
            </w:r>
          </w:p>
        </w:tc>
        <w:tc>
          <w:tcPr>
            <w:tcW w:w="1395" w:type="dxa"/>
            <w:vAlign w:val="center"/>
          </w:tcPr>
          <w:p>
            <w:pPr>
              <w:autoSpaceDE w:val="0"/>
              <w:autoSpaceDN w:val="0"/>
              <w:adjustRightInd w:val="0"/>
              <w:snapToGrid w:val="0"/>
              <w:spacing w:line="380" w:lineRule="exact"/>
              <w:ind w:left="-19" w:hanging="27"/>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体育与健康</w:t>
            </w:r>
          </w:p>
          <w:p>
            <w:pPr>
              <w:autoSpaceDE w:val="0"/>
              <w:autoSpaceDN w:val="0"/>
              <w:adjustRightInd w:val="0"/>
              <w:snapToGrid w:val="0"/>
              <w:spacing w:line="380" w:lineRule="exact"/>
              <w:ind w:left="-19" w:hanging="27"/>
              <w:jc w:val="center"/>
              <w:rPr>
                <w:rFonts w:ascii="仿宋_GB2312" w:hAnsi="仿宋_GB2312" w:eastAsia="仿宋_GB2312" w:cs="仿宋_GB2312"/>
                <w:szCs w:val="21"/>
              </w:rPr>
            </w:pPr>
            <w:r>
              <w:rPr>
                <w:rFonts w:hint="eastAsia" w:ascii="仿宋_GB2312" w:hAnsi="仿宋_GB2312" w:eastAsia="仿宋_GB2312" w:cs="仿宋_GB2312"/>
                <w:kern w:val="0"/>
                <w:szCs w:val="21"/>
              </w:rPr>
              <w:t>（拓展模块）</w:t>
            </w:r>
          </w:p>
        </w:tc>
        <w:tc>
          <w:tcPr>
            <w:tcW w:w="6870"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本课程模块是体育限定选修模块，主要包括球类运动、田径类运动、体操类运动、水上类运动、冰雪类运动、武术与民族民间传统体育类运动、新型体育类运动5个运动技能系列，通过学生选学某一运动项目，了解该项运动的历史文化介绍、基本知识和技能、技战术、比赛规则、引导学生增强体质、健全人格、锤炼意识，自觉遵守体育道德规范和行为准则，发扬体育精神，塑造良好的体育品质。</w:t>
            </w:r>
          </w:p>
        </w:tc>
        <w:tc>
          <w:tcPr>
            <w:tcW w:w="1125" w:type="dxa"/>
            <w:vAlign w:val="center"/>
          </w:tcPr>
          <w:p>
            <w:pPr>
              <w:autoSpaceDE w:val="0"/>
              <w:autoSpaceDN w:val="0"/>
              <w:adjustRightInd w:val="0"/>
              <w:snapToGrid w:val="0"/>
              <w:spacing w:line="380" w:lineRule="exact"/>
              <w:jc w:val="center"/>
              <w:rPr>
                <w:rFonts w:ascii="仿宋_GB2312" w:hAnsi="仿宋_GB2312" w:eastAsia="仿宋_GB2312" w:cs="仿宋_GB2312"/>
                <w:szCs w:val="21"/>
              </w:rPr>
            </w:pPr>
            <w:r>
              <w:rPr>
                <w:rFonts w:hint="eastAsia" w:ascii="仿宋_GB2312" w:hAnsi="仿宋_GB2312" w:eastAsia="仿宋_GB2312" w:cs="仿宋_GB2312"/>
                <w:kern w:val="0"/>
                <w:szCs w:val="21"/>
              </w:rPr>
              <w:t>90</w:t>
            </w:r>
          </w:p>
        </w:tc>
      </w:tr>
    </w:tbl>
    <w:p>
      <w:pPr>
        <w:adjustRightInd w:val="0"/>
        <w:snapToGrid w:val="0"/>
        <w:spacing w:line="520" w:lineRule="exact"/>
        <w:ind w:firstLine="640" w:firstLineChars="200"/>
        <w:rPr>
          <w:rFonts w:ascii="仿宋_GB2312" w:hAnsi="仿宋_GB2312" w:eastAsia="仿宋_GB2312" w:cs="仿宋_GB2312"/>
          <w:sz w:val="32"/>
          <w:szCs w:val="32"/>
        </w:rPr>
      </w:pPr>
    </w:p>
    <w:p>
      <w:pPr>
        <w:adjustRightInd w:val="0"/>
        <w:snapToGrid w:val="0"/>
        <w:spacing w:line="520" w:lineRule="exact"/>
        <w:ind w:firstLine="640" w:firstLineChars="200"/>
        <w:outlineLvl w:val="1"/>
        <w:rPr>
          <w:rFonts w:hint="eastAsia" w:ascii="楷体_GB2312" w:hAnsi="楷体_GB2312" w:eastAsia="楷体_GB2312" w:cs="楷体_GB2312"/>
          <w:sz w:val="32"/>
          <w:szCs w:val="32"/>
        </w:rPr>
      </w:pPr>
      <w:bookmarkStart w:id="13" w:name="_Toc4115"/>
      <w:r>
        <w:rPr>
          <w:rFonts w:hint="eastAsia" w:ascii="楷体_GB2312" w:hAnsi="楷体_GB2312" w:eastAsia="楷体_GB2312" w:cs="楷体_GB2312"/>
          <w:sz w:val="32"/>
          <w:szCs w:val="32"/>
        </w:rPr>
        <w:t>（二）专业（技能）课程</w:t>
      </w:r>
      <w:bookmarkEnd w:id="13"/>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专业（技能）课程包括专业基础课程、专业核心课程、专业拓展课程和实习实训等。</w:t>
      </w:r>
    </w:p>
    <w:p>
      <w:pPr>
        <w:adjustRightInd w:val="0"/>
        <w:snapToGrid w:val="0"/>
        <w:spacing w:line="52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1.专业基础课程</w:t>
      </w:r>
    </w:p>
    <w:p>
      <w:pPr>
        <w:pStyle w:val="4"/>
        <w:adjustRightInd w:val="0"/>
        <w:snapToGrid w:val="0"/>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主要包括素描、色彩基础、构成基础、图形图像处理、图案设计、视频剪辑、办公软件应用等7门课程，是计算机平面设计专业学生必修的专业基础课程。</w:t>
      </w:r>
    </w:p>
    <w:p>
      <w:pPr>
        <w:jc w:val="center"/>
        <w:rPr>
          <w:rFonts w:ascii="仿宋" w:hAnsi="仿宋" w:eastAsia="仿宋" w:cs="仿宋"/>
          <w:sz w:val="24"/>
        </w:rPr>
      </w:pPr>
      <w:r>
        <w:rPr>
          <w:rFonts w:hint="eastAsia" w:ascii="黑体" w:hAnsi="黑体" w:eastAsia="黑体" w:cs="黑体"/>
          <w:sz w:val="24"/>
        </w:rPr>
        <w:t>表4  专业基础课程主要教学内容与要求</w:t>
      </w:r>
    </w:p>
    <w:tbl>
      <w:tblPr>
        <w:tblStyle w:val="17"/>
        <w:tblW w:w="5587" w:type="pct"/>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530"/>
        <w:gridCol w:w="6856"/>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18"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5"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85"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40"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素描</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通过学习素描绘画基本知识，使学生掌握素描造型的一般规律和法则，熟悉素描造型中的形态和表现之间的关系，具有基本的素描造型能力，提高学生的艺术感知能力和鉴赏能力。</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色彩基础</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色彩知识绘画技巧，使学生了解色彩绘画的基本原理、基础知识和基本技法，掌握正确的观察方法和表现方法；学会运用色彩规律,使用色彩语言来表达自己的感受，能够培养学生对色彩敏锐的感受、感知能力。</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构成基础</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平面构成绘画技巧，使学生掌握设计方法、设计语言，掌握平面构成的基本原理、要素、形式美的法则，学会运用二维形象表达自己的设计理念，培养学生的解读能力、创新能力；通过学习色彩构成绘画方面的知识，使学生了解色彩的基本原理与属性、色彩的心理感知与情感，掌握色彩的对比与调和等相关知识，能够独立运用色彩相关知识与原理进行艺术设计。</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图形图像处理</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图形图像处理及相关的美学知识；熟悉不同类型图形图像处理业务的规范要求与表现手法；掌握应用平面设计主流软件进行图形图像处理的相关技能；能使用相应软件进行图形绘制、图文编辑、图像处理等；能综合运用所学知识完成广告效果图的制作。</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图案设计</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了解图案的基础理论知识，掌握图案的形式美法则和图案创作的基本方法程序，使学生具备运用图案语言进行创作的能力，注重创新思维的培养，开发学生的设计思维，培养学生科学、严谨的思维方式。</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1530" w:type="dxa"/>
            <w:vAlign w:val="center"/>
          </w:tcPr>
          <w:p>
            <w:pPr>
              <w:adjustRightInd w:val="0"/>
              <w:snapToGrid w:val="0"/>
              <w:spacing w:line="360" w:lineRule="exact"/>
              <w:jc w:val="center"/>
              <w:rPr>
                <w:rFonts w:ascii="仿宋_GB2312" w:hAnsi="仿宋_GB2312" w:eastAsia="仿宋_GB2312" w:cs="仿宋_GB2312"/>
                <w:szCs w:val="21"/>
              </w:rPr>
            </w:pPr>
            <w:r>
              <w:rPr>
                <w:rFonts w:hint="eastAsia" w:ascii="仿宋_GB2312" w:hAnsi="仿宋_GB2312" w:eastAsia="仿宋_GB2312" w:cs="仿宋_GB2312"/>
                <w:szCs w:val="21"/>
              </w:rPr>
              <w:t>视频剪辑</w:t>
            </w:r>
          </w:p>
        </w:tc>
        <w:tc>
          <w:tcPr>
            <w:tcW w:w="6855"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了解影视制作的相关知识和特点；熟悉影视制作流程和业务规范；掌握数字影音采集、编辑与合成的基本知识；掌握影视制作的技巧；能运用该软件制作编辑各类视频作品。</w:t>
            </w:r>
          </w:p>
        </w:tc>
        <w:tc>
          <w:tcPr>
            <w:tcW w:w="1094"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318"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1530" w:type="dxa"/>
            <w:vAlign w:val="center"/>
          </w:tcPr>
          <w:p>
            <w:pPr>
              <w:pStyle w:val="29"/>
              <w:spacing w:before="1" w:line="264" w:lineRule="exact"/>
              <w:ind w:right="101"/>
              <w:jc w:val="center"/>
              <w:rPr>
                <w:rFonts w:ascii="仿宋_GB2312" w:hAnsi="仿宋_GB2312" w:eastAsia="仿宋_GB2312" w:cs="仿宋_GB2312"/>
                <w:szCs w:val="21"/>
                <w:lang w:val="en-US" w:bidi="ar-SA"/>
              </w:rPr>
            </w:pPr>
            <w:r>
              <w:rPr>
                <w:rFonts w:hint="eastAsia" w:ascii="仿宋_GB2312" w:hAnsi="仿宋_GB2312" w:eastAsia="仿宋_GB2312" w:cs="仿宋_GB2312"/>
                <w:szCs w:val="21"/>
                <w:lang w:val="en-US" w:bidi="ar-SA"/>
              </w:rPr>
              <w:t>办公软件应用</w:t>
            </w:r>
          </w:p>
        </w:tc>
        <w:tc>
          <w:tcPr>
            <w:tcW w:w="6855" w:type="dxa"/>
            <w:vAlign w:val="center"/>
          </w:tcPr>
          <w:p>
            <w:pPr>
              <w:spacing w:line="400" w:lineRule="exact"/>
              <w:rPr>
                <w:rFonts w:ascii="仿宋_GB2312" w:hAnsi="仿宋_GB2312" w:eastAsia="仿宋_GB2312" w:cs="仿宋_GB2312"/>
                <w:szCs w:val="21"/>
              </w:rPr>
            </w:pPr>
            <w:r>
              <w:rPr>
                <w:rFonts w:hint="eastAsia" w:ascii="仿宋_GB2312" w:hAnsi="仿宋_GB2312" w:eastAsia="仿宋_GB2312" w:cs="仿宋_GB2312"/>
                <w:szCs w:val="21"/>
              </w:rPr>
              <w:t>了解不同平台计算机办公常用软件的应用；掌握在智能手机、平板电脑、个人计算机等不同的设备上进行文字编辑、数据分析、幻灯片制作、数据库应用等办公软件的应用技能；能使用主流办公自动化软件进行办公处理；会运用办公设备从事业务工作并进行简单维护。</w:t>
            </w:r>
          </w:p>
        </w:tc>
        <w:tc>
          <w:tcPr>
            <w:tcW w:w="1094" w:type="dxa"/>
            <w:vAlign w:val="center"/>
          </w:tcPr>
          <w:p>
            <w:pPr>
              <w:spacing w:line="56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bl>
    <w:p>
      <w:pPr>
        <w:pStyle w:val="4"/>
        <w:adjustRightInd w:val="0"/>
        <w:snapToGrid w:val="0"/>
        <w:spacing w:line="520" w:lineRule="exact"/>
        <w:ind w:firstLine="640"/>
        <w:rPr>
          <w:rFonts w:ascii="楷体_GB2312" w:hAnsi="楷体_GB2312" w:eastAsia="楷体_GB2312" w:cs="楷体_GB2312"/>
          <w:sz w:val="32"/>
          <w:szCs w:val="32"/>
        </w:rPr>
      </w:pPr>
    </w:p>
    <w:p>
      <w:pPr>
        <w:pStyle w:val="4"/>
        <w:adjustRightInd w:val="0"/>
        <w:snapToGrid w:val="0"/>
        <w:spacing w:line="520" w:lineRule="exact"/>
        <w:ind w:firstLine="640"/>
        <w:rPr>
          <w:rFonts w:ascii="楷体_GB2312" w:hAnsi="楷体_GB2312" w:eastAsia="楷体_GB2312" w:cs="楷体_GB2312"/>
          <w:sz w:val="32"/>
          <w:szCs w:val="32"/>
        </w:rPr>
      </w:pPr>
      <w:r>
        <w:rPr>
          <w:rFonts w:hint="eastAsia" w:ascii="楷体_GB2312" w:hAnsi="楷体_GB2312" w:eastAsia="楷体_GB2312" w:cs="楷体_GB2312"/>
          <w:sz w:val="32"/>
          <w:szCs w:val="32"/>
        </w:rPr>
        <w:t>2.专业核心课程</w:t>
      </w:r>
    </w:p>
    <w:p>
      <w:pPr>
        <w:pStyle w:val="4"/>
        <w:adjustRightInd w:val="0"/>
        <w:snapToGrid w:val="0"/>
        <w:spacing w:line="52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主要包括商业插画设计、广告设计与制作、字体与标志设计、包装设计与制作、书籍装帧设计、图形创意、影视后期等7门课程，是计算机平面设计专业学生学习专业技能和培养专业能力的必修课程。</w:t>
      </w:r>
    </w:p>
    <w:p>
      <w:pPr>
        <w:jc w:val="center"/>
        <w:rPr>
          <w:rFonts w:ascii="黑体" w:hAnsi="黑体" w:eastAsia="黑体" w:cs="黑体"/>
          <w:sz w:val="24"/>
        </w:rPr>
      </w:pPr>
      <w:r>
        <w:rPr>
          <w:rFonts w:hint="eastAsia" w:ascii="黑体" w:hAnsi="黑体" w:eastAsia="黑体" w:cs="黑体"/>
          <w:sz w:val="24"/>
        </w:rPr>
        <w:t>表5  专业核心课程主要教学内容与要求</w:t>
      </w:r>
    </w:p>
    <w:tbl>
      <w:tblPr>
        <w:tblStyle w:val="17"/>
        <w:tblW w:w="5577" w:type="pct"/>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29"/>
        <w:gridCol w:w="6854"/>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319"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6"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89"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33"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商业插画设计</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了解插画的设计、绘制方法；熟悉插画制作规范；掌握插画制作技巧与制作流程；能够设计出符合主题风格的具体画面；能够运用相关软件完成工作任务的设计与制作。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广告设计与制作</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了解不同广告媒体的特点；熟悉广告传播的方式、制作与实施；掌握广告设计的基本规律和艺术法则；能够熟练应用平面设计软件独立完成平面广告作品的创意、设计与制作。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字体与标志设计</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中文、外文字体的发展历程；了解不同字体的美学特征及规律；了解标志设计的创意规律和表现形式法则；掌握字体设计和标志设计的技能和理论知识；能够根据设计的要求完成字体设计与标志设计的相关工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包装设计与制作</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系统地讲授包装设计与制作方面的知识，使学生熟悉包装设计的流程，掌握包装设计与制作的技能和相关理论知识，能独立承担包装设计与制作工作任务，使学生能从艺术设计的角度出发，根据商品的特点，销售方式，结合市场学、消费心理学，以及包装材料和生产方式，独立进行包装结构和容器造型、包装装潢的统一设计，并掌握系列化、礼品化商品的包装设计创意方法和表现技法，为其将来参加设计工作打下良好的基础。</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书籍装帧设计</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不同书籍装帧的特点及相关的印前知识；了解书籍装帧传播方式以及设计要点；熟悉书籍装帧设计的整个流程；掌握书籍装帧的设计与制作方法；能够运用视觉传达的基本原理和方法进行书籍装帧设计与制作。</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0"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图形创意</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学习有关图形设计方面的知识，使学生了解图形的概念，设计的定义及文化内涵，理解图形设计的原理，熟悉图形创意的方法，掌握图形创意的相关理论知识和技能，具有一定的图形创意能力和手绘能力，能够按照设计要求独立完成图形创意的工作任务。</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5" w:hRule="atLeast"/>
        </w:trPr>
        <w:tc>
          <w:tcPr>
            <w:tcW w:w="319"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1530" w:type="dxa"/>
            <w:vAlign w:val="center"/>
          </w:tcPr>
          <w:p>
            <w:pPr>
              <w:adjustRightInd w:val="0"/>
              <w:snapToGrid w:val="0"/>
              <w:spacing w:line="360" w:lineRule="exact"/>
              <w:rPr>
                <w:rFonts w:ascii="仿宋_GB2312" w:hAnsi="仿宋_GB2312" w:eastAsia="仿宋_GB2312" w:cs="仿宋_GB2312"/>
                <w:szCs w:val="21"/>
              </w:rPr>
            </w:pPr>
            <w:r>
              <w:rPr>
                <w:rFonts w:hint="eastAsia" w:ascii="仿宋_GB2312" w:hAnsi="仿宋_GB2312" w:eastAsia="仿宋_GB2312" w:cs="仿宋_GB2312"/>
                <w:szCs w:val="21"/>
              </w:rPr>
              <w:t>影视后期</w:t>
            </w:r>
          </w:p>
        </w:tc>
        <w:tc>
          <w:tcPr>
            <w:tcW w:w="6851"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了解影视特效制作与后期合成的工作流程；掌握影视制作中数字合成的基本概念和原理；掌握利用数字合成技术进行影视后期特效制作的基本方法和技能；能运用数字合成及相关技术制作出具有一定特效的影视片头。</w:t>
            </w:r>
          </w:p>
        </w:tc>
        <w:tc>
          <w:tcPr>
            <w:tcW w:w="1079" w:type="dxa"/>
            <w:vAlign w:val="center"/>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126</w:t>
            </w:r>
          </w:p>
        </w:tc>
      </w:tr>
    </w:tbl>
    <w:p>
      <w:pPr>
        <w:pStyle w:val="4"/>
        <w:adjustRightInd w:val="0"/>
        <w:snapToGrid w:val="0"/>
        <w:spacing w:line="520" w:lineRule="exact"/>
        <w:ind w:firstLine="0" w:firstLineChars="0"/>
        <w:rPr>
          <w:rFonts w:ascii="楷体_GB2312" w:hAnsi="楷体_GB2312" w:eastAsia="楷体_GB2312" w:cs="楷体_GB2312"/>
          <w:sz w:val="32"/>
          <w:szCs w:val="32"/>
        </w:rPr>
      </w:pPr>
    </w:p>
    <w:p>
      <w:pPr>
        <w:pStyle w:val="4"/>
        <w:adjustRightInd w:val="0"/>
        <w:snapToGrid w:val="0"/>
        <w:spacing w:line="520" w:lineRule="exact"/>
        <w:ind w:firstLine="640"/>
        <w:rPr>
          <w:rFonts w:ascii="楷体" w:hAnsi="楷体" w:eastAsia="楷体" w:cs="楷体"/>
          <w:sz w:val="32"/>
          <w:szCs w:val="32"/>
        </w:rPr>
      </w:pPr>
      <w:r>
        <w:rPr>
          <w:rFonts w:hint="eastAsia" w:ascii="楷体" w:hAnsi="楷体" w:eastAsia="楷体" w:cs="楷体"/>
          <w:sz w:val="32"/>
          <w:szCs w:val="32"/>
        </w:rPr>
        <w:t>3.专业拓展课程</w:t>
      </w:r>
    </w:p>
    <w:p>
      <w:pPr>
        <w:pStyle w:val="4"/>
        <w:adjustRightInd w:val="0"/>
        <w:snapToGrid w:val="0"/>
        <w:spacing w:line="520" w:lineRule="exact"/>
        <w:ind w:left="0" w:leftChars="0"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主要包括网页设计与制作、排版与印刷、Flash动画制作等3门专业拓展课程。</w:t>
      </w:r>
    </w:p>
    <w:p>
      <w:pPr>
        <w:pStyle w:val="4"/>
        <w:snapToGrid w:val="0"/>
        <w:spacing w:line="520" w:lineRule="exact"/>
        <w:ind w:firstLine="0" w:firstLineChars="0"/>
        <w:jc w:val="center"/>
        <w:rPr>
          <w:rFonts w:ascii="黑体" w:hAnsi="黑体" w:eastAsia="黑体" w:cs="黑体"/>
          <w:sz w:val="24"/>
        </w:rPr>
      </w:pPr>
      <w:r>
        <w:rPr>
          <w:rFonts w:hint="eastAsia" w:ascii="黑体" w:hAnsi="黑体" w:eastAsia="黑体" w:cs="黑体"/>
          <w:sz w:val="24"/>
        </w:rPr>
        <w:t>表6 专业拓展课程主要教学内容与要求</w:t>
      </w:r>
    </w:p>
    <w:tbl>
      <w:tblPr>
        <w:tblStyle w:val="17"/>
        <w:tblW w:w="5561" w:type="pct"/>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15"/>
        <w:gridCol w:w="6840"/>
        <w:gridCol w:w="1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320"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751" w:type="pct"/>
            <w:vAlign w:val="center"/>
          </w:tcPr>
          <w:p>
            <w:pPr>
              <w:jc w:val="center"/>
              <w:rPr>
                <w:rFonts w:ascii="黑体" w:hAnsi="黑体" w:eastAsia="黑体" w:cs="黑体"/>
                <w:szCs w:val="21"/>
              </w:rPr>
            </w:pPr>
            <w:r>
              <w:rPr>
                <w:rFonts w:hint="eastAsia" w:ascii="黑体" w:hAnsi="黑体" w:eastAsia="黑体" w:cs="黑体"/>
                <w:szCs w:val="21"/>
              </w:rPr>
              <w:t>课程名称</w:t>
            </w:r>
          </w:p>
        </w:tc>
        <w:tc>
          <w:tcPr>
            <w:tcW w:w="3392"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534" w:type="pct"/>
            <w:vAlign w:val="center"/>
          </w:tcPr>
          <w:p>
            <w:pPr>
              <w:jc w:val="center"/>
              <w:rPr>
                <w:rFonts w:ascii="黑体" w:hAnsi="黑体" w:eastAsia="黑体" w:cs="黑体"/>
                <w:szCs w:val="21"/>
              </w:rPr>
            </w:pPr>
            <w:r>
              <w:rPr>
                <w:rFonts w:hint="eastAsia" w:ascii="黑体" w:hAnsi="黑体" w:eastAsia="黑体" w:cs="黑体"/>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8"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网页设计与制作</w:t>
            </w:r>
          </w:p>
        </w:tc>
        <w:tc>
          <w:tcPr>
            <w:tcW w:w="3392" w:type="pct"/>
          </w:tcPr>
          <w:p>
            <w:pPr>
              <w:adjustRightInd w:val="0"/>
              <w:snapToGrid w:val="0"/>
              <w:spacing w:line="5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培养学生从事网页设计与制作的基本技能，掌握网页设计的概念和方法，运用专业的网页设计工具和脚本语言，进行网站规划、建立和维护，具备网页美工设计岗位的职业技术能力。在学习本课程之前，学生已具备基本的计算机操作、图形图像制作、动画制作、网页制作能力。通过学习网页美工设计课程后使学生能够综合利用各种网页设计工具，熟练设计完成网页美工方案，增强课程内容与职业岗位能力要求的相关性，提高学生的就业能力。</w:t>
            </w:r>
          </w:p>
        </w:tc>
        <w:tc>
          <w:tcPr>
            <w:tcW w:w="534"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9"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排版与印刷</w:t>
            </w:r>
          </w:p>
        </w:tc>
        <w:tc>
          <w:tcPr>
            <w:tcW w:w="3392" w:type="pct"/>
          </w:tcPr>
          <w:p>
            <w:pPr>
              <w:adjustRightInd w:val="0"/>
              <w:snapToGrid w:val="0"/>
              <w:spacing w:line="5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排版与印刷》是计算机平面设计专业的一门专业选修课程。该课程从基本排版知识学起，通过杂志内页、宣传单、报纸、书籍等实例的制作过程，学习图文混排、图形图像处理、表格制作、色彩使用、目录制作、网上发行等排版知识，与图形图像处理和插画制作等软件联合使用，能用其设计制作说明书、杂志、画册、报纸、产品外包装、广告手提袋、招贴等，为学生具备助理装潢设计师的专业素质打下基础。</w:t>
            </w:r>
          </w:p>
        </w:tc>
        <w:tc>
          <w:tcPr>
            <w:tcW w:w="534"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2" w:hRule="atLeast"/>
        </w:trPr>
        <w:tc>
          <w:tcPr>
            <w:tcW w:w="320"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51"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Flash动画制作</w:t>
            </w:r>
          </w:p>
        </w:tc>
        <w:tc>
          <w:tcPr>
            <w:tcW w:w="3392" w:type="pct"/>
          </w:tcPr>
          <w:p>
            <w:pPr>
              <w:adjustRightInd w:val="0"/>
              <w:snapToGrid w:val="0"/>
              <w:spacing w:line="540" w:lineRule="exact"/>
              <w:ind w:firstLine="420" w:firstLineChars="200"/>
              <w:jc w:val="left"/>
              <w:rPr>
                <w:rFonts w:ascii="仿宋_GB2312" w:hAnsi="仿宋_GB2312" w:eastAsia="仿宋_GB2312" w:cs="仿宋_GB2312"/>
                <w:szCs w:val="21"/>
              </w:rPr>
            </w:pPr>
            <w:r>
              <w:rPr>
                <w:rFonts w:hint="eastAsia" w:ascii="仿宋_GB2312" w:hAnsi="仿宋_GB2312" w:eastAsia="仿宋_GB2312" w:cs="仿宋_GB2312"/>
                <w:szCs w:val="21"/>
              </w:rPr>
              <w:t>本门课程既具有很强的操作和实践性。其任务是培养学生用二维动画软件设计制作动画的能力，使学生掌握二维动画各种动画效果的制作方法以及运用技巧，掌握与其它多媒体软件结合开发大型动画作品的技术，达到高素质劳动者和中初级专门人才所必需具备的二维动画制作的基本技能。</w:t>
            </w:r>
          </w:p>
        </w:tc>
        <w:tc>
          <w:tcPr>
            <w:tcW w:w="534"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bl>
    <w:p>
      <w:pPr>
        <w:pStyle w:val="4"/>
        <w:adjustRightInd w:val="0"/>
        <w:snapToGrid w:val="0"/>
        <w:spacing w:line="500" w:lineRule="exact"/>
        <w:ind w:firstLine="640"/>
        <w:jc w:val="left"/>
        <w:rPr>
          <w:rFonts w:ascii="楷体_GB2312" w:hAnsi="楷体_GB2312" w:eastAsia="楷体_GB2312" w:cs="楷体_GB2312"/>
          <w:sz w:val="32"/>
          <w:szCs w:val="32"/>
        </w:rPr>
      </w:pPr>
      <w:r>
        <w:rPr>
          <w:rFonts w:hint="eastAsia" w:ascii="楷体_GB2312" w:hAnsi="楷体_GB2312" w:eastAsia="楷体_GB2312" w:cs="楷体_GB2312"/>
          <w:sz w:val="32"/>
          <w:szCs w:val="32"/>
        </w:rPr>
        <w:t>4.实习实训</w:t>
      </w:r>
    </w:p>
    <w:p>
      <w:pPr>
        <w:pStyle w:val="4"/>
        <w:adjustRightInd w:val="0"/>
        <w:snapToGrid w:val="0"/>
        <w:spacing w:line="500" w:lineRule="exact"/>
        <w:ind w:firstLine="640"/>
        <w:jc w:val="left"/>
        <w:rPr>
          <w:rFonts w:ascii="黑体" w:hAnsi="黑体" w:eastAsia="黑体" w:cs="黑体"/>
          <w:sz w:val="28"/>
          <w:szCs w:val="28"/>
        </w:rPr>
      </w:pPr>
      <w:r>
        <w:rPr>
          <w:rFonts w:hint="eastAsia" w:ascii="仿宋_GB2312" w:hAnsi="仿宋_GB2312" w:eastAsia="仿宋_GB2312" w:cs="仿宋_GB2312"/>
          <w:sz w:val="32"/>
          <w:szCs w:val="32"/>
        </w:rPr>
        <w:t>根据专业人才培养和课程需要，在专业课程学习过程中，对接真实企业场景或工作情景，采取理实一体化项目教学实训和分阶段集中专门化综合实训的方式，在校内实训基地和校外实习基地进行实训和认识实习，在第六学期进行岗位实习。实习实训既是实践性教学，也是专业课教学的重要内容，应注重理论与实践一体化教学，严格执行《职业学校学生实习管理规定》（教职成〔2021〕4号）和《计算机平面设计专业岗位实习标准》，保证学生实习岗位与其所学专业面向的岗位（群）基本一致，内容符合标准要求。</w:t>
      </w:r>
    </w:p>
    <w:p>
      <w:pPr>
        <w:pStyle w:val="4"/>
        <w:adjustRightInd w:val="0"/>
        <w:snapToGrid w:val="0"/>
        <w:spacing w:line="500" w:lineRule="exact"/>
        <w:ind w:firstLine="0" w:firstLineChars="0"/>
        <w:jc w:val="center"/>
        <w:rPr>
          <w:rFonts w:ascii="仿宋" w:hAnsi="仿宋" w:eastAsia="仿宋" w:cs="仿宋"/>
          <w:sz w:val="24"/>
        </w:rPr>
      </w:pPr>
      <w:r>
        <w:rPr>
          <w:rFonts w:hint="eastAsia" w:ascii="黑体" w:hAnsi="黑体" w:eastAsia="黑体" w:cs="黑体"/>
          <w:sz w:val="24"/>
        </w:rPr>
        <w:t>表7  实习实训主要教学内容与要求</w:t>
      </w:r>
    </w:p>
    <w:tbl>
      <w:tblPr>
        <w:tblStyle w:val="17"/>
        <w:tblW w:w="5156" w:type="pct"/>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1500"/>
        <w:gridCol w:w="3542"/>
        <w:gridCol w:w="1335"/>
        <w:gridCol w:w="1319"/>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52" w:type="pct"/>
            <w:vAlign w:val="center"/>
          </w:tcPr>
          <w:p>
            <w:pPr>
              <w:jc w:val="center"/>
              <w:rPr>
                <w:rFonts w:ascii="黑体" w:hAnsi="黑体" w:eastAsia="黑体" w:cs="黑体"/>
                <w:szCs w:val="21"/>
              </w:rPr>
            </w:pPr>
            <w:r>
              <w:rPr>
                <w:rFonts w:hint="eastAsia" w:ascii="黑体" w:hAnsi="黑体" w:eastAsia="黑体" w:cs="黑体"/>
                <w:szCs w:val="21"/>
              </w:rPr>
              <w:t>序号</w:t>
            </w:r>
          </w:p>
        </w:tc>
        <w:tc>
          <w:tcPr>
            <w:tcW w:w="802" w:type="pct"/>
            <w:vAlign w:val="center"/>
          </w:tcPr>
          <w:p>
            <w:pPr>
              <w:jc w:val="center"/>
              <w:rPr>
                <w:rFonts w:ascii="黑体" w:hAnsi="黑体" w:eastAsia="黑体" w:cs="黑体"/>
                <w:szCs w:val="21"/>
              </w:rPr>
            </w:pPr>
            <w:r>
              <w:rPr>
                <w:rFonts w:hint="eastAsia" w:ascii="黑体" w:hAnsi="黑体" w:eastAsia="黑体" w:cs="黑体"/>
                <w:szCs w:val="21"/>
              </w:rPr>
              <w:t>项目</w:t>
            </w:r>
          </w:p>
        </w:tc>
        <w:tc>
          <w:tcPr>
            <w:tcW w:w="1894" w:type="pct"/>
            <w:vAlign w:val="center"/>
          </w:tcPr>
          <w:p>
            <w:pPr>
              <w:jc w:val="center"/>
              <w:rPr>
                <w:rFonts w:ascii="黑体" w:hAnsi="黑体" w:eastAsia="黑体" w:cs="黑体"/>
                <w:szCs w:val="21"/>
              </w:rPr>
            </w:pPr>
            <w:r>
              <w:rPr>
                <w:rFonts w:hint="eastAsia" w:ascii="黑体" w:hAnsi="黑体" w:eastAsia="黑体" w:cs="黑体"/>
                <w:szCs w:val="21"/>
              </w:rPr>
              <w:t>教学内容与要求</w:t>
            </w:r>
          </w:p>
        </w:tc>
        <w:tc>
          <w:tcPr>
            <w:tcW w:w="714" w:type="pct"/>
            <w:vAlign w:val="center"/>
          </w:tcPr>
          <w:p>
            <w:pPr>
              <w:jc w:val="center"/>
              <w:rPr>
                <w:rFonts w:ascii="黑体" w:hAnsi="黑体" w:eastAsia="黑体" w:cs="黑体"/>
                <w:szCs w:val="21"/>
              </w:rPr>
            </w:pPr>
            <w:r>
              <w:rPr>
                <w:rFonts w:hint="eastAsia" w:ascii="黑体" w:hAnsi="黑体" w:eastAsia="黑体" w:cs="黑体"/>
                <w:szCs w:val="21"/>
              </w:rPr>
              <w:t>地点</w:t>
            </w:r>
          </w:p>
        </w:tc>
        <w:tc>
          <w:tcPr>
            <w:tcW w:w="706" w:type="pct"/>
            <w:vAlign w:val="center"/>
          </w:tcPr>
          <w:p>
            <w:pPr>
              <w:jc w:val="center"/>
              <w:rPr>
                <w:rFonts w:ascii="黑体" w:hAnsi="黑体" w:eastAsia="黑体" w:cs="黑体"/>
                <w:szCs w:val="21"/>
              </w:rPr>
            </w:pPr>
            <w:r>
              <w:rPr>
                <w:rFonts w:hint="eastAsia" w:ascii="黑体" w:hAnsi="黑体" w:eastAsia="黑体" w:cs="黑体"/>
                <w:szCs w:val="21"/>
              </w:rPr>
              <w:t>学期</w:t>
            </w:r>
          </w:p>
        </w:tc>
        <w:tc>
          <w:tcPr>
            <w:tcW w:w="529" w:type="pct"/>
            <w:vAlign w:val="center"/>
          </w:tcPr>
          <w:p>
            <w:pPr>
              <w:ind w:firstLine="210" w:firstLineChars="100"/>
              <w:rPr>
                <w:rFonts w:ascii="黑体" w:hAnsi="黑体" w:eastAsia="黑体" w:cs="黑体"/>
                <w:szCs w:val="21"/>
              </w:rPr>
            </w:pPr>
            <w:r>
              <w:rPr>
                <w:rFonts w:hint="eastAsia" w:ascii="黑体" w:hAnsi="黑体" w:eastAsia="黑体" w:cs="黑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352"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认识实习</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通过组织学生到实习单位参观、和体验等方式，使学生了解计算机平面设计等岗位的工作环境和要求，增强对未来职业岗位的感性认识，激发学生专业兴趣和培养专业情感。</w:t>
            </w:r>
          </w:p>
        </w:tc>
        <w:tc>
          <w:tcPr>
            <w:tcW w:w="714"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广告传媒类企业</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第1学期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35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平面设计综合实训</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平面设计综合实训，使学生掌握字体与标志设计、版式设计、书籍装帧设计、包装设计、广告设计、企业形象设计技能，具备一定的平面设计理论基础和设计技术能力，全面提升学生解决实训中遇到的实际问题能力。</w:t>
            </w:r>
          </w:p>
        </w:tc>
        <w:tc>
          <w:tcPr>
            <w:tcW w:w="714" w:type="pct"/>
            <w:vAlign w:val="center"/>
          </w:tcPr>
          <w:p>
            <w:pPr>
              <w:adjustRightInd w:val="0"/>
              <w:snapToGrid w:val="0"/>
              <w:spacing w:line="440" w:lineRule="exact"/>
              <w:rPr>
                <w:rFonts w:ascii="仿宋_GB2312" w:hAnsi="仿宋_GB2312" w:eastAsia="仿宋_GB2312" w:cs="仿宋_GB2312"/>
                <w:szCs w:val="21"/>
              </w:rPr>
            </w:pPr>
            <w:r>
              <w:rPr>
                <w:rFonts w:hint="eastAsia" w:ascii="仿宋_GB2312" w:hAnsi="仿宋_GB2312" w:eastAsia="仿宋_GB2312" w:cs="仿宋_GB2312"/>
                <w:szCs w:val="21"/>
              </w:rPr>
              <w:t>计算机平面设计实训室</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35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影视后期综合实训</w:t>
            </w:r>
          </w:p>
        </w:tc>
        <w:tc>
          <w:tcPr>
            <w:tcW w:w="1894" w:type="pct"/>
          </w:tcPr>
          <w:p>
            <w:pPr>
              <w:adjustRightInd w:val="0"/>
              <w:snapToGrid w:val="0"/>
              <w:spacing w:line="44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通过平面设计综合实训，使学生掌握掌握影视设计与制作方法，具备一定的的创新能力，能够独立完成带有创意思维的影视作品，全面提升学生解决实训中遇到的实际问题能力。</w:t>
            </w:r>
          </w:p>
        </w:tc>
        <w:tc>
          <w:tcPr>
            <w:tcW w:w="714"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计算机平面设计实训室</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trPr>
        <w:tc>
          <w:tcPr>
            <w:tcW w:w="352" w:type="pct"/>
            <w:vAlign w:val="center"/>
          </w:tcPr>
          <w:p>
            <w:pPr>
              <w:adjustRightInd w:val="0"/>
              <w:snapToGrid w:val="0"/>
              <w:spacing w:line="4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802"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岗位实习</w:t>
            </w:r>
          </w:p>
        </w:tc>
        <w:tc>
          <w:tcPr>
            <w:tcW w:w="1894" w:type="pct"/>
          </w:tcPr>
          <w:p>
            <w:pPr>
              <w:adjustRightInd w:val="0"/>
              <w:snapToGrid w:val="0"/>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通过岗位实习，了解企业的组织架构、规章制度、企业文化和安全生产基本知识，运用所学专业知识和技能，进行平面设计师、包装设计助理、网页美工等相关岗位的实践，提升专业技能和工作能力。初步形成良好的职业道德意识和行为规范，学会沟通交流和团队协作，提高社会适应能力，为今后真正走上工作岗位打下坚实的基础。</w:t>
            </w:r>
          </w:p>
        </w:tc>
        <w:tc>
          <w:tcPr>
            <w:tcW w:w="714"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实习单位</w:t>
            </w:r>
          </w:p>
        </w:tc>
        <w:tc>
          <w:tcPr>
            <w:tcW w:w="706"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第5-6学期</w:t>
            </w:r>
          </w:p>
        </w:tc>
        <w:tc>
          <w:tcPr>
            <w:tcW w:w="529" w:type="pct"/>
            <w:vAlign w:val="center"/>
          </w:tcPr>
          <w:p>
            <w:pPr>
              <w:adjustRightInd w:val="0"/>
              <w:snapToGrid w:val="0"/>
              <w:spacing w:line="440" w:lineRule="exact"/>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r>
    </w:tbl>
    <w:p>
      <w:pPr>
        <w:pStyle w:val="16"/>
        <w:adjustRightInd w:val="0"/>
        <w:snapToGrid w:val="0"/>
        <w:spacing w:before="0" w:beforeAutospacing="0" w:after="0" w:afterAutospacing="0" w:line="580" w:lineRule="exact"/>
        <w:ind w:firstLine="640" w:firstLineChars="200"/>
        <w:outlineLvl w:val="0"/>
        <w:rPr>
          <w:rFonts w:ascii="黑体" w:hAnsi="黑体" w:eastAsia="黑体" w:cs="黑体"/>
          <w:kern w:val="0"/>
          <w:sz w:val="32"/>
          <w:szCs w:val="32"/>
          <w:shd w:val="clear" w:color="auto" w:fill="FFFFFF"/>
          <w:lang w:bidi="ar"/>
        </w:rPr>
      </w:pPr>
      <w:bookmarkStart w:id="14" w:name="_Toc3078"/>
      <w:r>
        <w:rPr>
          <w:rFonts w:hint="eastAsia" w:ascii="黑体" w:hAnsi="黑体" w:eastAsia="黑体" w:cs="黑体"/>
          <w:kern w:val="0"/>
          <w:sz w:val="32"/>
          <w:szCs w:val="32"/>
          <w:shd w:val="clear" w:color="auto" w:fill="FFFFFF"/>
          <w:lang w:bidi="ar"/>
        </w:rPr>
        <w:t>九、教学进程总体安排</w:t>
      </w:r>
      <w:bookmarkEnd w:id="14"/>
    </w:p>
    <w:p>
      <w:pPr>
        <w:numPr>
          <w:ilvl w:val="0"/>
          <w:numId w:val="0"/>
        </w:num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15" w:name="_Toc1800"/>
      <w:r>
        <w:rPr>
          <w:rFonts w:hint="eastAsia" w:ascii="楷体_GB2312" w:hAnsi="楷体_GB2312" w:eastAsia="楷体_GB2312" w:cs="楷体_GB2312"/>
          <w:kern w:val="2"/>
          <w:sz w:val="32"/>
          <w:szCs w:val="32"/>
          <w:lang w:val="en-US" w:eastAsia="zh-CN" w:bidi="ar-SA"/>
        </w:rPr>
        <w:t>（一）</w:t>
      </w:r>
      <w:r>
        <w:rPr>
          <w:rFonts w:hint="eastAsia" w:ascii="楷体_GB2312" w:hAnsi="楷体_GB2312" w:eastAsia="楷体_GB2312" w:cs="楷体_GB2312"/>
          <w:sz w:val="32"/>
          <w:szCs w:val="32"/>
        </w:rPr>
        <w:t>基本要求</w:t>
      </w:r>
      <w:bookmarkEnd w:id="15"/>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每学年为52周，其中教学时间40周，去除复习考试、节假日休假等，按每学期18周计算，周学时为29学时，总学时数3000-3300学时。课程开设顺序和周学时安排，可根据实际情况调整。</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公共基础课学时约占总学时的1/3，可以根据行业人才培养的实际需要在规定的范围内适当调整，但必须保证学生修完公共基础课的必修内容和学时。课程设置中应设选修课，其学时数占总学时的比例应不少于10%。</w:t>
      </w:r>
    </w:p>
    <w:p>
      <w:pPr>
        <w:autoSpaceDE w:val="0"/>
        <w:autoSpaceDN w:val="0"/>
        <w:adjustRightInd w:val="0"/>
        <w:spacing w:line="560" w:lineRule="exact"/>
        <w:ind w:firstLine="640" w:firstLineChars="200"/>
        <w:rPr>
          <w:rFonts w:ascii="黑体" w:hAnsi="黑体" w:eastAsia="黑体" w:cs="黑体"/>
          <w:kern w:val="0"/>
          <w:sz w:val="32"/>
          <w:szCs w:val="32"/>
          <w:shd w:val="clear" w:color="auto" w:fill="FFFFFF"/>
          <w:lang w:bidi="ar"/>
        </w:rPr>
      </w:pPr>
      <w:r>
        <w:rPr>
          <w:rFonts w:hint="eastAsia" w:ascii="仿宋_GB2312" w:hAnsi="仿宋_GB2312" w:eastAsia="仿宋_GB2312" w:cs="仿宋_GB2312"/>
          <w:sz w:val="32"/>
          <w:szCs w:val="32"/>
        </w:rPr>
        <w:t>专业课学时约占总学时的2/3，在确保学生实习总量的前提下，可根据实际需要集中或分阶段安排实习时间。加强实践教学，占总学时数50%以上。</w:t>
      </w:r>
    </w:p>
    <w:p>
      <w:pPr>
        <w:numPr>
          <w:ilvl w:val="0"/>
          <w:numId w:val="0"/>
        </w:num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16" w:name="_Toc28764"/>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教学时间安排</w:t>
      </w:r>
      <w:bookmarkEnd w:id="16"/>
    </w:p>
    <w:p>
      <w:pPr>
        <w:pStyle w:val="4"/>
        <w:adjustRightInd w:val="0"/>
        <w:snapToGrid w:val="0"/>
        <w:spacing w:line="500" w:lineRule="exact"/>
        <w:ind w:firstLine="0" w:firstLineChars="0"/>
        <w:jc w:val="center"/>
        <w:rPr>
          <w:rFonts w:ascii="楷体" w:hAnsi="楷体" w:eastAsia="楷体" w:cs="楷体"/>
          <w:sz w:val="32"/>
          <w:szCs w:val="32"/>
        </w:rPr>
      </w:pPr>
      <w:r>
        <w:rPr>
          <w:rFonts w:hint="eastAsia" w:ascii="楷体" w:hAnsi="楷体" w:eastAsia="楷体" w:cs="楷体"/>
          <w:sz w:val="32"/>
          <w:szCs w:val="32"/>
        </w:rPr>
        <w:t xml:space="preserve">   </w:t>
      </w:r>
      <w:r>
        <w:rPr>
          <w:rFonts w:hint="eastAsia" w:ascii="黑体" w:hAnsi="黑体" w:eastAsia="黑体" w:cs="黑体"/>
          <w:sz w:val="24"/>
        </w:rPr>
        <w:t>表8  学年教学时间安排</w:t>
      </w:r>
    </w:p>
    <w:tbl>
      <w:tblPr>
        <w:tblStyle w:val="17"/>
        <w:tblW w:w="950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67"/>
        <w:gridCol w:w="3473"/>
        <w:gridCol w:w="1425"/>
        <w:gridCol w:w="1031"/>
        <w:gridCol w:w="926"/>
        <w:gridCol w:w="10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567" w:type="dxa"/>
            <w:vAlign w:val="center"/>
          </w:tcPr>
          <w:p>
            <w:pPr>
              <w:ind w:firstLine="840" w:firstLineChars="400"/>
              <w:rPr>
                <w:rFonts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60288" behindDoc="0" locked="0" layoutInCell="1" allowOverlap="1">
                      <wp:simplePos x="0" y="0"/>
                      <wp:positionH relativeFrom="column">
                        <wp:posOffset>264160</wp:posOffset>
                      </wp:positionH>
                      <wp:positionV relativeFrom="paragraph">
                        <wp:posOffset>0</wp:posOffset>
                      </wp:positionV>
                      <wp:extent cx="640715" cy="591185"/>
                      <wp:effectExtent l="3175" t="3810" r="3810" b="14605"/>
                      <wp:wrapNone/>
                      <wp:docPr id="4" name="任意多边形 4"/>
                      <wp:cNvGraphicFramePr/>
                      <a:graphic xmlns:a="http://schemas.openxmlformats.org/drawingml/2006/main">
                        <a:graphicData uri="http://schemas.microsoft.com/office/word/2010/wordprocessingShape">
                          <wps:wsp>
                            <wps:cNvSpPr/>
                            <wps:spPr bwMode="auto">
                              <a:xfrm>
                                <a:off x="0" y="0"/>
                                <a:ext cx="641350" cy="572770"/>
                              </a:xfrm>
                              <a:custGeom>
                                <a:avLst/>
                                <a:gdLst>
                                  <a:gd name="T0" fmla="*/ 0 w 1116"/>
                                  <a:gd name="T1" fmla="*/ 0 h 1122"/>
                                  <a:gd name="T2" fmla="*/ 1116 w 1116"/>
                                  <a:gd name="T3" fmla="*/ 1122 h 1122"/>
                                </a:gdLst>
                                <a:ahLst/>
                                <a:cxnLst>
                                  <a:cxn ang="0">
                                    <a:pos x="T0" y="T1"/>
                                  </a:cxn>
                                  <a:cxn ang="0">
                                    <a:pos x="T2" y="T3"/>
                                  </a:cxn>
                                </a:cxnLst>
                                <a:rect l="0" t="0" r="r" b="b"/>
                                <a:pathLst>
                                  <a:path w="1116" h="1122">
                                    <a:moveTo>
                                      <a:pt x="0" y="0"/>
                                    </a:moveTo>
                                    <a:lnTo>
                                      <a:pt x="1116" y="1122"/>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0.8pt;margin-top:0pt;height:46.55pt;width:50.45pt;z-index:251660288;mso-width-relative:page;mso-height-relative:page;" filled="f" stroked="t" coordsize="1116,1122" o:gfxdata="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7qFFUdMAAAAGAQAADwAA&#10;AAAAAAABACAAAAAiAAAAZHJzL2Rvd25yZXYueG1sUEsBAhQAFAAAAAgAh07iQL9GQFzGAgAA7QUA&#10;AA4AAAAAAAAAAQAgAAAAIgEAAGRycy9lMm9Eb2MueG1sUEsFBgAAAAAGAAYAWQEAAFoGAAAAAA==&#10;" path="m0,0l1116,1122e">
                      <v:path o:connectlocs="0,0;641350,572770"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内容</w:t>
            </w:r>
          </w:p>
          <w:p>
            <w:pPr>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mc:AlternateContent>
                <mc:Choice Requires="wps">
                  <w:drawing>
                    <wp:anchor distT="0" distB="0" distL="114300" distR="114300" simplePos="0" relativeHeight="251661312" behindDoc="0" locked="0" layoutInCell="1" allowOverlap="1">
                      <wp:simplePos x="0" y="0"/>
                      <wp:positionH relativeFrom="column">
                        <wp:posOffset>-66040</wp:posOffset>
                      </wp:positionH>
                      <wp:positionV relativeFrom="paragraph">
                        <wp:posOffset>70485</wp:posOffset>
                      </wp:positionV>
                      <wp:extent cx="977900" cy="323850"/>
                      <wp:effectExtent l="1270" t="4445" r="11430" b="14605"/>
                      <wp:wrapNone/>
                      <wp:docPr id="8" name="任意多边形 8"/>
                      <wp:cNvGraphicFramePr/>
                      <a:graphic xmlns:a="http://schemas.openxmlformats.org/drawingml/2006/main">
                        <a:graphicData uri="http://schemas.microsoft.com/office/word/2010/wordprocessingShape">
                          <wps:wsp>
                            <wps:cNvSpPr/>
                            <wps:spPr bwMode="auto">
                              <a:xfrm>
                                <a:off x="0" y="0"/>
                                <a:ext cx="1005840" cy="333375"/>
                              </a:xfrm>
                              <a:custGeom>
                                <a:avLst/>
                                <a:gdLst>
                                  <a:gd name="T0" fmla="*/ 0 w 1899"/>
                                  <a:gd name="T1" fmla="*/ 0 h 673"/>
                                  <a:gd name="T2" fmla="*/ 1899 w 1899"/>
                                  <a:gd name="T3" fmla="*/ 673 h 673"/>
                                </a:gdLst>
                                <a:ahLst/>
                                <a:cxnLst>
                                  <a:cxn ang="0">
                                    <a:pos x="T0" y="T1"/>
                                  </a:cxn>
                                  <a:cxn ang="0">
                                    <a:pos x="T2" y="T3"/>
                                  </a:cxn>
                                </a:cxnLst>
                                <a:rect l="0" t="0" r="r" b="b"/>
                                <a:pathLst>
                                  <a:path w="1899" h="673">
                                    <a:moveTo>
                                      <a:pt x="0" y="0"/>
                                    </a:moveTo>
                                    <a:lnTo>
                                      <a:pt x="1899" y="673"/>
                                    </a:lnTo>
                                  </a:path>
                                </a:pathLst>
                              </a:custGeom>
                              <a:noFill/>
                              <a:ln w="9525" cmpd="sng">
                                <a:solidFill>
                                  <a:srgbClr val="000000"/>
                                </a:solidFill>
                                <a:round/>
                              </a:ln>
                              <a:effectLst/>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5.2pt;margin-top:5.55pt;height:25.5pt;width:77pt;z-index:251661312;mso-width-relative:page;mso-height-relative:page;" filled="f" stroked="t" coordsize="1899,673" o:gfxdata="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" path="m0,0l1899,673e">
                      <v:path o:connectlocs="0,0;1005840,333375" o:connectangles="0,0"/>
                      <v:fill on="f" focussize="0,0"/>
                      <v:stroke color="#000000" joinstyle="round"/>
                      <v:imagedata o:title=""/>
                      <o:lock v:ext="edit" aspectratio="f"/>
                    </v:shape>
                  </w:pict>
                </mc:Fallback>
              </mc:AlternateContent>
            </w:r>
            <w:r>
              <w:rPr>
                <w:rFonts w:hint="eastAsia" w:ascii="仿宋_GB2312" w:hAnsi="仿宋_GB2312" w:eastAsia="仿宋_GB2312" w:cs="仿宋_GB2312"/>
                <w:szCs w:val="21"/>
              </w:rPr>
              <w:t>周数</w:t>
            </w:r>
          </w:p>
          <w:p>
            <w:pPr>
              <w:rPr>
                <w:rFonts w:ascii="仿宋_GB2312" w:hAnsi="仿宋_GB2312" w:eastAsia="仿宋_GB2312" w:cs="仿宋_GB2312"/>
                <w:szCs w:val="21"/>
              </w:rPr>
            </w:pPr>
            <w:r>
              <w:rPr>
                <w:rFonts w:hint="eastAsia" w:ascii="仿宋_GB2312" w:hAnsi="仿宋_GB2312" w:eastAsia="仿宋_GB2312" w:cs="仿宋_GB2312"/>
                <w:szCs w:val="21"/>
              </w:rPr>
              <w:t>学年</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教学（含理实一体教学</w:t>
            </w:r>
          </w:p>
          <w:p>
            <w:pPr>
              <w:jc w:val="center"/>
              <w:rPr>
                <w:rFonts w:ascii="仿宋_GB2312" w:hAnsi="仿宋_GB2312" w:eastAsia="仿宋_GB2312" w:cs="仿宋_GB2312"/>
                <w:szCs w:val="21"/>
              </w:rPr>
            </w:pPr>
            <w:r>
              <w:rPr>
                <w:rFonts w:hint="eastAsia" w:ascii="仿宋_GB2312" w:hAnsi="仿宋_GB2312" w:eastAsia="仿宋_GB2312" w:cs="仿宋_GB2312"/>
                <w:szCs w:val="21"/>
              </w:rPr>
              <w:t>及专门化集中实训）</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复习考试</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机动</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假期</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全年周数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一</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二</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56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三</w:t>
            </w:r>
          </w:p>
        </w:tc>
        <w:tc>
          <w:tcPr>
            <w:tcW w:w="347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38（其中岗位实习24周）</w:t>
            </w:r>
          </w:p>
        </w:tc>
        <w:tc>
          <w:tcPr>
            <w:tcW w:w="142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03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92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108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52</w:t>
            </w:r>
          </w:p>
        </w:tc>
      </w:tr>
    </w:tbl>
    <w:p>
      <w:pPr>
        <w:adjustRightInd w:val="0"/>
        <w:snapToGrid w:val="0"/>
        <w:spacing w:line="580" w:lineRule="exact"/>
        <w:rPr>
          <w:rFonts w:ascii="楷体" w:hAnsi="楷体" w:eastAsia="楷体" w:cs="楷体"/>
          <w:sz w:val="32"/>
          <w:szCs w:val="32"/>
        </w:rPr>
      </w:pPr>
    </w:p>
    <w:p>
      <w:pPr>
        <w:rPr>
          <w:rFonts w:ascii="楷体" w:hAnsi="楷体" w:eastAsia="楷体" w:cs="楷体"/>
          <w:sz w:val="32"/>
          <w:szCs w:val="32"/>
        </w:rPr>
      </w:pPr>
      <w:r>
        <w:rPr>
          <w:rFonts w:hint="eastAsia" w:ascii="楷体" w:hAnsi="楷体" w:eastAsia="楷体" w:cs="楷体"/>
          <w:sz w:val="32"/>
          <w:szCs w:val="32"/>
        </w:rPr>
        <w:br w:type="page"/>
      </w:r>
    </w:p>
    <w:p>
      <w:pPr>
        <w:adjustRightInd w:val="0"/>
        <w:snapToGrid w:val="0"/>
        <w:spacing w:line="580" w:lineRule="exact"/>
        <w:rPr>
          <w:rFonts w:ascii="楷体" w:hAnsi="楷体" w:eastAsia="楷体" w:cs="楷体"/>
          <w:sz w:val="32"/>
          <w:szCs w:val="32"/>
        </w:rPr>
        <w:sectPr>
          <w:footerReference r:id="rId5" w:type="default"/>
          <w:pgSz w:w="11906" w:h="16838"/>
          <w:pgMar w:top="2041" w:right="1531" w:bottom="1984" w:left="1531" w:header="851" w:footer="992" w:gutter="0"/>
          <w:pgNumType w:fmt="decimal" w:start="1"/>
          <w:cols w:space="720" w:num="1"/>
          <w:docGrid w:type="lines" w:linePitch="312" w:charSpace="0"/>
        </w:sectPr>
      </w:pPr>
    </w:p>
    <w:p>
      <w:pPr>
        <w:numPr>
          <w:ilvl w:val="0"/>
          <w:numId w:val="0"/>
        </w:numPr>
        <w:adjustRightInd w:val="0"/>
        <w:snapToGrid w:val="0"/>
        <w:spacing w:line="580" w:lineRule="exact"/>
        <w:ind w:firstLine="640" w:firstLineChars="200"/>
        <w:outlineLvl w:val="1"/>
        <w:rPr>
          <w:rFonts w:hint="eastAsia" w:ascii="楷体_GB2312" w:hAnsi="楷体_GB2312" w:eastAsia="楷体_GB2312" w:cs="楷体_GB2312"/>
          <w:sz w:val="32"/>
          <w:szCs w:val="32"/>
        </w:rPr>
      </w:pPr>
      <w:bookmarkStart w:id="17" w:name="_Toc28806"/>
      <w:r>
        <w:rPr>
          <w:rFonts w:hint="eastAsia" w:ascii="楷体_GB2312" w:hAnsi="楷体_GB2312" w:eastAsia="楷体_GB2312" w:cs="楷体_GB2312"/>
          <w:kern w:val="2"/>
          <w:sz w:val="32"/>
          <w:szCs w:val="32"/>
          <w:lang w:val="en-US" w:eastAsia="zh-CN" w:bidi="ar-SA"/>
        </w:rPr>
        <w:t>（三）</w:t>
      </w:r>
      <w:r>
        <w:rPr>
          <w:rFonts w:hint="eastAsia" w:ascii="楷体_GB2312" w:hAnsi="楷体_GB2312" w:eastAsia="楷体_GB2312" w:cs="楷体_GB2312"/>
          <w:sz w:val="32"/>
          <w:szCs w:val="32"/>
        </w:rPr>
        <w:t>教学进程安排表</w:t>
      </w:r>
      <w:bookmarkEnd w:id="17"/>
    </w:p>
    <w:p>
      <w:pPr>
        <w:adjustRightInd w:val="0"/>
        <w:snapToGrid w:val="0"/>
        <w:spacing w:line="580" w:lineRule="exact"/>
        <w:ind w:left="420" w:leftChars="200"/>
        <w:rPr>
          <w:rFonts w:ascii="楷体" w:hAnsi="楷体" w:eastAsia="楷体" w:cs="楷体"/>
          <w:sz w:val="32"/>
          <w:szCs w:val="32"/>
        </w:rPr>
      </w:pPr>
      <w:r>
        <w:rPr>
          <w:rFonts w:hint="eastAsia" w:ascii="楷体" w:hAnsi="楷体" w:eastAsia="楷体" w:cs="楷体"/>
          <w:sz w:val="32"/>
          <w:szCs w:val="32"/>
        </w:rPr>
        <w:t xml:space="preserve">                     </w:t>
      </w:r>
      <w:r>
        <w:rPr>
          <w:rFonts w:hint="eastAsia" w:ascii="黑体" w:hAnsi="黑体" w:eastAsia="黑体" w:cs="黑体"/>
          <w:sz w:val="24"/>
        </w:rPr>
        <w:t>表9  计算机平面设计专业教学进程安排表</w:t>
      </w:r>
    </w:p>
    <w:tbl>
      <w:tblPr>
        <w:tblStyle w:val="17"/>
        <w:tblW w:w="1469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99"/>
        <w:gridCol w:w="603"/>
        <w:gridCol w:w="814"/>
        <w:gridCol w:w="2528"/>
        <w:gridCol w:w="1730"/>
        <w:gridCol w:w="975"/>
        <w:gridCol w:w="765"/>
        <w:gridCol w:w="765"/>
        <w:gridCol w:w="825"/>
        <w:gridCol w:w="690"/>
        <w:gridCol w:w="970"/>
        <w:gridCol w:w="705"/>
        <w:gridCol w:w="735"/>
        <w:gridCol w:w="705"/>
        <w:gridCol w:w="690"/>
        <w:gridCol w:w="6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67" w:hRule="exact"/>
          <w:tblHeader/>
          <w:jc w:val="center"/>
        </w:trPr>
        <w:tc>
          <w:tcPr>
            <w:tcW w:w="1102" w:type="dxa"/>
            <w:gridSpan w:val="2"/>
            <w:vMerge w:val="restart"/>
            <w:tcBorders>
              <w:top w:val="single" w:color="auto" w:sz="4" w:space="0"/>
              <w:left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课程</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类别</w:t>
            </w:r>
          </w:p>
        </w:tc>
        <w:tc>
          <w:tcPr>
            <w:tcW w:w="814"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2528" w:type="dxa"/>
            <w:vMerge w:val="restart"/>
            <w:tcBorders>
              <w:top w:val="single" w:color="auto" w:sz="4" w:space="0"/>
            </w:tcBorders>
            <w:vAlign w:val="center"/>
          </w:tcPr>
          <w:p>
            <w:pPr>
              <w:pStyle w:val="22"/>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课程名称</w:t>
            </w:r>
          </w:p>
        </w:tc>
        <w:tc>
          <w:tcPr>
            <w:tcW w:w="1730"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课程代码</w:t>
            </w:r>
          </w:p>
        </w:tc>
        <w:tc>
          <w:tcPr>
            <w:tcW w:w="2505" w:type="dxa"/>
            <w:gridSpan w:val="3"/>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学时分配</w:t>
            </w:r>
          </w:p>
        </w:tc>
        <w:tc>
          <w:tcPr>
            <w:tcW w:w="825"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学分</w:t>
            </w:r>
          </w:p>
        </w:tc>
        <w:tc>
          <w:tcPr>
            <w:tcW w:w="690" w:type="dxa"/>
            <w:vMerge w:val="restart"/>
            <w:tcBorders>
              <w:top w:val="single" w:color="auto" w:sz="4" w:space="0"/>
            </w:tcBorders>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考核</w:t>
            </w:r>
          </w:p>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方式</w:t>
            </w:r>
          </w:p>
        </w:tc>
        <w:tc>
          <w:tcPr>
            <w:tcW w:w="4500" w:type="dxa"/>
            <w:gridSpan w:val="6"/>
            <w:tcBorders>
              <w:top w:val="single" w:color="auto" w:sz="4" w:space="0"/>
              <w:bottom w:val="single" w:color="auto" w:sz="4" w:space="0"/>
            </w:tcBorders>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按学年、学期教学进程安排</w:t>
            </w:r>
          </w:p>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（教学周数/周学时）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1730" w:type="dxa"/>
            <w:vMerge w:val="continue"/>
            <w:vAlign w:val="center"/>
          </w:tcPr>
          <w:p>
            <w:pPr>
              <w:adjustRightInd w:val="0"/>
              <w:snapToGrid w:val="0"/>
              <w:jc w:val="center"/>
              <w:rPr>
                <w:rFonts w:ascii="仿宋_GB2312" w:hAnsi="仿宋_GB2312" w:eastAsia="仿宋_GB2312" w:cs="仿宋_GB2312"/>
                <w:szCs w:val="21"/>
              </w:rPr>
            </w:pPr>
          </w:p>
        </w:tc>
        <w:tc>
          <w:tcPr>
            <w:tcW w:w="2505" w:type="dxa"/>
            <w:gridSpan w:val="3"/>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第一学年</w:t>
            </w:r>
          </w:p>
        </w:tc>
        <w:tc>
          <w:tcPr>
            <w:tcW w:w="1440"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第二学年</w:t>
            </w:r>
          </w:p>
        </w:tc>
        <w:tc>
          <w:tcPr>
            <w:tcW w:w="1385" w:type="dxa"/>
            <w:gridSpan w:val="2"/>
            <w:vMerge w:val="restart"/>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第三学年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12"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1730" w:type="dxa"/>
            <w:vMerge w:val="continue"/>
            <w:vAlign w:val="center"/>
          </w:tcPr>
          <w:p>
            <w:pPr>
              <w:adjustRightInd w:val="0"/>
              <w:snapToGrid w:val="0"/>
              <w:jc w:val="center"/>
              <w:rPr>
                <w:rFonts w:ascii="仿宋_GB2312" w:hAnsi="仿宋_GB2312" w:eastAsia="仿宋_GB2312" w:cs="仿宋_GB2312"/>
                <w:szCs w:val="21"/>
              </w:rPr>
            </w:pPr>
          </w:p>
        </w:tc>
        <w:tc>
          <w:tcPr>
            <w:tcW w:w="97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总学时</w:t>
            </w:r>
          </w:p>
        </w:tc>
        <w:tc>
          <w:tcPr>
            <w:tcW w:w="765" w:type="dxa"/>
            <w:vMerge w:val="restart"/>
            <w:vAlign w:val="center"/>
          </w:tcPr>
          <w:p>
            <w:pPr>
              <w:pStyle w:val="22"/>
              <w:adjustRightInd w:val="0"/>
              <w:snapToGrid w:val="0"/>
              <w:spacing w:line="240" w:lineRule="exact"/>
              <w:rPr>
                <w:rFonts w:ascii="仿宋_GB2312" w:hAnsi="仿宋_GB2312" w:eastAsia="仿宋_GB2312" w:cs="仿宋_GB2312"/>
                <w:sz w:val="21"/>
                <w:szCs w:val="21"/>
              </w:rPr>
            </w:pPr>
            <w:r>
              <w:rPr>
                <w:rFonts w:hint="eastAsia" w:ascii="仿宋_GB2312" w:hAnsi="仿宋_GB2312" w:eastAsia="仿宋_GB2312" w:cs="仿宋_GB2312"/>
                <w:sz w:val="21"/>
                <w:szCs w:val="21"/>
              </w:rPr>
              <w:t>理论学时</w:t>
            </w:r>
          </w:p>
        </w:tc>
        <w:tc>
          <w:tcPr>
            <w:tcW w:w="765" w:type="dxa"/>
            <w:vMerge w:val="restart"/>
            <w:vAlign w:val="center"/>
          </w:tcPr>
          <w:p>
            <w:pPr>
              <w:adjustRightInd w:val="0"/>
              <w:snapToGrid w:val="0"/>
              <w:spacing w:line="240" w:lineRule="exact"/>
              <w:jc w:val="center"/>
              <w:rPr>
                <w:rFonts w:ascii="仿宋_GB2312" w:hAnsi="仿宋_GB2312" w:eastAsia="仿宋_GB2312" w:cs="仿宋_GB2312"/>
                <w:szCs w:val="21"/>
              </w:rPr>
            </w:pPr>
            <w:r>
              <w:rPr>
                <w:rFonts w:hint="eastAsia" w:ascii="仿宋_GB2312" w:hAnsi="仿宋_GB2312" w:eastAsia="仿宋_GB2312" w:cs="仿宋_GB2312"/>
                <w:szCs w:val="21"/>
              </w:rPr>
              <w:t>实践学时</w:t>
            </w: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167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440"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c>
          <w:tcPr>
            <w:tcW w:w="1385" w:type="dxa"/>
            <w:gridSpan w:val="2"/>
            <w:vMerge w:val="continue"/>
            <w:tcBorders>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57" w:hRule="exact"/>
          <w:tblHeader/>
          <w:jc w:val="center"/>
        </w:trPr>
        <w:tc>
          <w:tcPr>
            <w:tcW w:w="1102" w:type="dxa"/>
            <w:gridSpan w:val="2"/>
            <w:vMerge w:val="continue"/>
            <w:tcBorders>
              <w:left w:val="single" w:color="auto" w:sz="4" w:space="0"/>
            </w:tcBorders>
            <w:vAlign w:val="center"/>
          </w:tcPr>
          <w:p>
            <w:pPr>
              <w:adjustRightInd w:val="0"/>
              <w:snapToGrid w:val="0"/>
              <w:jc w:val="center"/>
              <w:rPr>
                <w:rFonts w:ascii="仿宋_GB2312" w:hAnsi="仿宋_GB2312" w:eastAsia="仿宋_GB2312" w:cs="仿宋_GB2312"/>
                <w:szCs w:val="21"/>
              </w:rPr>
            </w:pPr>
          </w:p>
        </w:tc>
        <w:tc>
          <w:tcPr>
            <w:tcW w:w="814" w:type="dxa"/>
            <w:vMerge w:val="continue"/>
            <w:vAlign w:val="center"/>
          </w:tcPr>
          <w:p>
            <w:pPr>
              <w:adjustRightInd w:val="0"/>
              <w:snapToGrid w:val="0"/>
              <w:jc w:val="center"/>
              <w:rPr>
                <w:rFonts w:ascii="仿宋_GB2312" w:hAnsi="仿宋_GB2312" w:eastAsia="仿宋_GB2312" w:cs="仿宋_GB2312"/>
                <w:szCs w:val="21"/>
              </w:rPr>
            </w:pPr>
          </w:p>
        </w:tc>
        <w:tc>
          <w:tcPr>
            <w:tcW w:w="2528" w:type="dxa"/>
            <w:vMerge w:val="continue"/>
            <w:vAlign w:val="center"/>
          </w:tcPr>
          <w:p>
            <w:pPr>
              <w:adjustRightInd w:val="0"/>
              <w:snapToGrid w:val="0"/>
              <w:rPr>
                <w:rFonts w:ascii="仿宋_GB2312" w:hAnsi="仿宋_GB2312" w:eastAsia="仿宋_GB2312" w:cs="仿宋_GB2312"/>
                <w:szCs w:val="21"/>
              </w:rPr>
            </w:pPr>
          </w:p>
        </w:tc>
        <w:tc>
          <w:tcPr>
            <w:tcW w:w="1730" w:type="dxa"/>
            <w:vMerge w:val="continue"/>
            <w:vAlign w:val="center"/>
          </w:tcPr>
          <w:p>
            <w:pPr>
              <w:adjustRightInd w:val="0"/>
              <w:snapToGrid w:val="0"/>
              <w:jc w:val="center"/>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70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5" w:type="dxa"/>
            <w:tcBorders>
              <w:top w:val="single" w:color="auto" w:sz="4" w:space="0"/>
              <w:bottom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372" w:hRule="exact"/>
          <w:tblHeader/>
          <w:jc w:val="center"/>
        </w:trPr>
        <w:tc>
          <w:tcPr>
            <w:tcW w:w="1102" w:type="dxa"/>
            <w:gridSpan w:val="2"/>
            <w:vMerge w:val="continue"/>
            <w:tcBorders>
              <w:left w:val="single" w:color="auto" w:sz="4" w:space="0"/>
            </w:tcBorders>
            <w:vAlign w:val="center"/>
          </w:tcPr>
          <w:p>
            <w:pPr>
              <w:adjustRightInd w:val="0"/>
              <w:snapToGrid w:val="0"/>
              <w:jc w:val="right"/>
              <w:rPr>
                <w:rFonts w:ascii="仿宋_GB2312" w:hAnsi="仿宋_GB2312" w:eastAsia="仿宋_GB2312" w:cs="仿宋_GB2312"/>
                <w:szCs w:val="21"/>
              </w:rPr>
            </w:pPr>
          </w:p>
        </w:tc>
        <w:tc>
          <w:tcPr>
            <w:tcW w:w="814" w:type="dxa"/>
            <w:vMerge w:val="continue"/>
            <w:vAlign w:val="center"/>
          </w:tcPr>
          <w:p>
            <w:pPr>
              <w:adjustRightInd w:val="0"/>
              <w:snapToGrid w:val="0"/>
              <w:jc w:val="right"/>
              <w:rPr>
                <w:rFonts w:ascii="仿宋_GB2312" w:hAnsi="仿宋_GB2312" w:eastAsia="仿宋_GB2312" w:cs="仿宋_GB2312"/>
                <w:szCs w:val="21"/>
              </w:rPr>
            </w:pPr>
          </w:p>
        </w:tc>
        <w:tc>
          <w:tcPr>
            <w:tcW w:w="2528" w:type="dxa"/>
            <w:vMerge w:val="continue"/>
            <w:vAlign w:val="center"/>
          </w:tcPr>
          <w:p>
            <w:pPr>
              <w:adjustRightInd w:val="0"/>
              <w:snapToGrid w:val="0"/>
              <w:jc w:val="right"/>
              <w:rPr>
                <w:rFonts w:ascii="仿宋_GB2312" w:hAnsi="仿宋_GB2312" w:eastAsia="仿宋_GB2312" w:cs="仿宋_GB2312"/>
                <w:szCs w:val="21"/>
              </w:rPr>
            </w:pPr>
          </w:p>
        </w:tc>
        <w:tc>
          <w:tcPr>
            <w:tcW w:w="1730" w:type="dxa"/>
            <w:vMerge w:val="continue"/>
            <w:vAlign w:val="center"/>
          </w:tcPr>
          <w:p>
            <w:pPr>
              <w:adjustRightInd w:val="0"/>
              <w:snapToGrid w:val="0"/>
              <w:jc w:val="right"/>
              <w:rPr>
                <w:rFonts w:ascii="仿宋_GB2312" w:hAnsi="仿宋_GB2312" w:eastAsia="仿宋_GB2312" w:cs="仿宋_GB2312"/>
                <w:szCs w:val="21"/>
              </w:rPr>
            </w:pPr>
          </w:p>
        </w:tc>
        <w:tc>
          <w:tcPr>
            <w:tcW w:w="97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765" w:type="dxa"/>
            <w:vMerge w:val="continue"/>
            <w:vAlign w:val="center"/>
          </w:tcPr>
          <w:p>
            <w:pPr>
              <w:adjustRightInd w:val="0"/>
              <w:snapToGrid w:val="0"/>
              <w:jc w:val="center"/>
              <w:rPr>
                <w:rFonts w:ascii="仿宋_GB2312" w:hAnsi="仿宋_GB2312" w:eastAsia="仿宋_GB2312" w:cs="仿宋_GB2312"/>
                <w:szCs w:val="21"/>
              </w:rPr>
            </w:pPr>
          </w:p>
        </w:tc>
        <w:tc>
          <w:tcPr>
            <w:tcW w:w="825" w:type="dxa"/>
            <w:vMerge w:val="continue"/>
            <w:vAlign w:val="center"/>
          </w:tcPr>
          <w:p>
            <w:pPr>
              <w:adjustRightInd w:val="0"/>
              <w:snapToGrid w:val="0"/>
              <w:jc w:val="center"/>
              <w:rPr>
                <w:rFonts w:ascii="仿宋_GB2312" w:hAnsi="仿宋_GB2312" w:eastAsia="仿宋_GB2312" w:cs="仿宋_GB2312"/>
                <w:szCs w:val="21"/>
              </w:rPr>
            </w:pPr>
          </w:p>
        </w:tc>
        <w:tc>
          <w:tcPr>
            <w:tcW w:w="690" w:type="dxa"/>
            <w:vMerge w:val="continue"/>
            <w:vAlign w:val="center"/>
          </w:tcPr>
          <w:p>
            <w:pPr>
              <w:adjustRightInd w:val="0"/>
              <w:snapToGrid w:val="0"/>
              <w:jc w:val="center"/>
              <w:rPr>
                <w:rFonts w:ascii="仿宋_GB2312" w:hAnsi="仿宋_GB2312" w:eastAsia="仿宋_GB2312" w:cs="仿宋_GB2312"/>
                <w:szCs w:val="21"/>
              </w:rPr>
            </w:pPr>
          </w:p>
        </w:tc>
        <w:tc>
          <w:tcPr>
            <w:tcW w:w="97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3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70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0"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18周</w:t>
            </w:r>
          </w:p>
        </w:tc>
        <w:tc>
          <w:tcPr>
            <w:tcW w:w="695" w:type="dxa"/>
            <w:tcBorders>
              <w:top w:val="single" w:color="auto" w:sz="4" w:space="0"/>
            </w:tcBorders>
            <w:vAlign w:val="center"/>
          </w:tcPr>
          <w:p>
            <w:pPr>
              <w:adjustRightInd w:val="0"/>
              <w:snapToGrid w:val="0"/>
              <w:spacing w:line="300" w:lineRule="exact"/>
              <w:jc w:val="center"/>
              <w:rPr>
                <w:rFonts w:ascii="仿宋_GB2312" w:hAnsi="仿宋_GB2312" w:eastAsia="仿宋_GB2312" w:cs="仿宋_GB2312"/>
                <w:szCs w:val="21"/>
              </w:rPr>
            </w:pPr>
            <w:r>
              <w:rPr>
                <w:rFonts w:hint="eastAsia" w:ascii="仿宋_GB2312" w:hAnsi="仿宋_GB2312" w:eastAsia="仿宋_GB2312" w:cs="仿宋_GB2312"/>
                <w:szCs w:val="21"/>
              </w:rPr>
              <w:t>20周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cBorders>
              <w:top w:val="single" w:color="auto" w:sz="4" w:space="0"/>
            </w:tcBorders>
            <w:textDirection w:val="tbRlV"/>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必修课</w:t>
            </w:r>
          </w:p>
        </w:tc>
        <w:tc>
          <w:tcPr>
            <w:tcW w:w="814"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中国特色社会主义</w:t>
            </w:r>
          </w:p>
        </w:tc>
        <w:tc>
          <w:tcPr>
            <w:tcW w:w="1730"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KCGG001</w:t>
            </w:r>
          </w:p>
        </w:tc>
        <w:tc>
          <w:tcPr>
            <w:tcW w:w="97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tcBorders>
              <w:top w:val="single" w:color="auto" w:sz="4" w:space="0"/>
            </w:tcBorders>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3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70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0"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c>
          <w:tcPr>
            <w:tcW w:w="695" w:type="dxa"/>
            <w:tcBorders>
              <w:top w:val="single" w:color="auto" w:sz="4" w:space="0"/>
            </w:tcBorders>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心理健康与职业生涯</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KCGG002</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哲学与人生</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KCGG003</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职业道德与法治</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KCGG004</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语文（基础模块）</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KCGG005</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144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8</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数学（基础模块）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KCGG006</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英语（基础模块）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KCGG007</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信息技术</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KCGG008</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历史（基础模块）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KCGG009</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体育与健康（基础模块）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KCGG011</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艺术（基础模块）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KCGG012</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劳动教育</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KCGG013</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小计（占总课时比例24.6%）</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810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684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公共基础课程</w:t>
            </w: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限定选修课程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中职生传统文化教育</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KCGG014</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安全教育/职业素养</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KCGG015</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考查</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语文（职业模块）</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KCGG005</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54</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数学（拓展模块）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KCGG006</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19"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英语（职业模块）</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KCGG007</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36</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体育与健康（拓展模块）</w:t>
            </w:r>
          </w:p>
        </w:tc>
        <w:tc>
          <w:tcPr>
            <w:tcW w:w="1730"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KCGG011</w:t>
            </w:r>
          </w:p>
        </w:tc>
        <w:tc>
          <w:tcPr>
            <w:tcW w:w="97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90</w:t>
            </w:r>
          </w:p>
        </w:tc>
        <w:tc>
          <w:tcPr>
            <w:tcW w:w="765"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小计（占总课时比例8.8%）</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tabs>
                <w:tab w:val="left" w:pos="327"/>
              </w:tabs>
              <w:adjustRightInd w:val="0"/>
              <w:snapToGrid w:val="0"/>
              <w:jc w:val="left"/>
              <w:rPr>
                <w:rFonts w:ascii="仿宋_GB2312" w:hAnsi="仿宋_GB2312" w:eastAsia="仿宋_GB2312" w:cs="仿宋_GB2312"/>
                <w:szCs w:val="21"/>
              </w:rPr>
            </w:pPr>
            <w:r>
              <w:rPr>
                <w:rFonts w:hint="eastAsia" w:ascii="仿宋_GB2312" w:hAnsi="仿宋_GB2312" w:eastAsia="仿宋_GB2312" w:cs="仿宋_GB2312"/>
                <w:szCs w:val="21"/>
              </w:rPr>
              <w:tab/>
            </w:r>
            <w:r>
              <w:rPr>
                <w:rFonts w:hint="eastAsia" w:ascii="仿宋_GB2312" w:hAnsi="仿宋_GB2312" w:eastAsia="仿宋_GB2312" w:cs="仿宋_GB2312"/>
                <w:szCs w:val="21"/>
              </w:rPr>
              <w:t>288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216</w:t>
            </w:r>
          </w:p>
        </w:tc>
        <w:tc>
          <w:tcPr>
            <w:tcW w:w="76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72</w:t>
            </w:r>
          </w:p>
        </w:tc>
        <w:tc>
          <w:tcPr>
            <w:tcW w:w="825" w:type="dxa"/>
            <w:vAlign w:val="center"/>
          </w:tcPr>
          <w:p>
            <w:pPr>
              <w:adjustRightInd w:val="0"/>
              <w:snapToGrid w:val="0"/>
              <w:rPr>
                <w:rFonts w:ascii="仿宋_GB2312" w:hAnsi="仿宋_GB2312" w:eastAsia="仿宋_GB2312" w:cs="仿宋_GB2312"/>
                <w:szCs w:val="21"/>
              </w:rPr>
            </w:pPr>
            <w:r>
              <w:rPr>
                <w:rFonts w:hint="eastAsia" w:ascii="仿宋_GB2312" w:hAnsi="仿宋_GB2312" w:eastAsia="仿宋_GB2312" w:cs="仿宋_GB2312"/>
                <w:szCs w:val="21"/>
              </w:rPr>
              <w:t xml:space="preserve"> 16</w:t>
            </w:r>
          </w:p>
        </w:tc>
        <w:tc>
          <w:tcPr>
            <w:tcW w:w="690" w:type="dxa"/>
            <w:vAlign w:val="center"/>
          </w:tcPr>
          <w:p>
            <w:pPr>
              <w:adjustRightInd w:val="0"/>
              <w:snapToGrid w:val="0"/>
              <w:rPr>
                <w:rFonts w:ascii="仿宋_GB2312" w:hAnsi="仿宋_GB2312" w:eastAsia="仿宋_GB2312" w:cs="仿宋_GB2312"/>
                <w:szCs w:val="21"/>
              </w:rPr>
            </w:pPr>
          </w:p>
        </w:tc>
        <w:tc>
          <w:tcPr>
            <w:tcW w:w="4500" w:type="dxa"/>
            <w:gridSpan w:val="6"/>
            <w:vAlign w:val="center"/>
          </w:tcPr>
          <w:p>
            <w:pPr>
              <w:adjustRightInd w:val="0"/>
              <w:snapToGrid w:val="0"/>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专业（技能）课程</w:t>
            </w:r>
          </w:p>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603" w:type="dxa"/>
            <w:vMerge w:val="restart"/>
            <w:textDirection w:val="tbRlV"/>
            <w:vAlign w:val="center"/>
          </w:tcPr>
          <w:p>
            <w:pPr>
              <w:snapToGrid w:val="0"/>
              <w:ind w:left="113" w:right="113" w:firstLine="105" w:firstLineChars="50"/>
              <w:jc w:val="center"/>
              <w:rPr>
                <w:rFonts w:ascii="仿宋_GB2312" w:hAnsi="仿宋_GB2312" w:eastAsia="仿宋_GB2312" w:cs="仿宋_GB2312"/>
                <w:szCs w:val="21"/>
              </w:rPr>
            </w:pPr>
            <w:r>
              <w:rPr>
                <w:rFonts w:hint="eastAsia" w:ascii="仿宋_GB2312" w:hAnsi="仿宋_GB2312" w:eastAsia="仿宋_GB2312" w:cs="仿宋_GB2312"/>
                <w:szCs w:val="21"/>
              </w:rPr>
              <w:t>专业基础课程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素描</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KCXX106</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色彩基础</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KCXX107</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构成基础</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KCXX108</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widowControl/>
              <w:jc w:val="center"/>
              <w:rPr>
                <w:rFonts w:ascii="仿宋_GB2312" w:hAnsi="仿宋_GB2312" w:eastAsia="仿宋_GB2312" w:cs="仿宋_GB2312"/>
                <w:szCs w:val="21"/>
              </w:rPr>
            </w:pPr>
            <w:r>
              <w:rPr>
                <w:rFonts w:hint="eastAsia" w:ascii="宋体"/>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图形图像处理</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KCXX319</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图案设计</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KCXX109</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3</w:t>
            </w:r>
          </w:p>
        </w:tc>
        <w:tc>
          <w:tcPr>
            <w:tcW w:w="705" w:type="dxa"/>
            <w:vAlign w:val="center"/>
          </w:tcPr>
          <w:p>
            <w:pP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视频剪辑</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KCXX320</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textDirection w:val="tbRlV"/>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snapToGrid w:val="0"/>
              <w:ind w:left="113" w:right="113" w:firstLine="105" w:firstLineChars="5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办公软件应用</w:t>
            </w:r>
          </w:p>
        </w:tc>
        <w:tc>
          <w:tcPr>
            <w:tcW w:w="1730" w:type="dxa"/>
            <w:vAlign w:val="center"/>
          </w:tcPr>
          <w:p>
            <w:pPr>
              <w:adjustRightInd w:val="0"/>
              <w:snapToGrid w:val="0"/>
              <w:jc w:val="center"/>
              <w:rPr>
                <w:rFonts w:ascii="仿宋_GB2312" w:hAnsi="仿宋_GB2312" w:eastAsia="仿宋_GB2312" w:cs="仿宋_GB2312"/>
                <w:kern w:val="0"/>
                <w:szCs w:val="21"/>
              </w:rPr>
            </w:pPr>
            <w:r>
              <w:rPr>
                <w:rFonts w:ascii="仿宋_GB2312" w:hAnsi="仿宋_GB2312" w:eastAsia="仿宋_GB2312" w:cs="仿宋_GB2312"/>
                <w:kern w:val="0"/>
                <w:szCs w:val="21"/>
              </w:rPr>
              <w:t>KCXX</w:t>
            </w:r>
            <w:r>
              <w:rPr>
                <w:rFonts w:hint="eastAsia" w:ascii="仿宋_GB2312" w:hAnsi="仿宋_GB2312" w:eastAsia="仿宋_GB2312" w:cs="仿宋_GB2312"/>
                <w:kern w:val="0"/>
                <w:szCs w:val="21"/>
              </w:rPr>
              <w:t>2</w:t>
            </w:r>
            <w:r>
              <w:rPr>
                <w:rFonts w:ascii="仿宋_GB2312" w:hAnsi="仿宋_GB2312" w:eastAsia="仿宋_GB2312" w:cs="仿宋_GB2312"/>
                <w:kern w:val="0"/>
                <w:szCs w:val="21"/>
              </w:rPr>
              <w:t>01</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705" w:type="dxa"/>
            <w:vAlign w:val="center"/>
          </w:tcPr>
          <w:p>
            <w:pPr>
              <w:widowControl/>
              <w:jc w:val="center"/>
              <w:textAlignment w:val="center"/>
              <w:rPr>
                <w:rFonts w:ascii="仿宋_GB2312" w:hAnsi="仿宋_GB2312" w:eastAsia="仿宋_GB2312" w:cs="仿宋_GB2312"/>
                <w:szCs w:val="21"/>
              </w:rPr>
            </w:pPr>
            <w:r>
              <w:rPr>
                <w:rFonts w:hint="eastAsia" w:ascii="宋体" w:hAnsi="宋体" w:cs="宋体"/>
                <w:color w:val="000000"/>
                <w:kern w:val="0"/>
                <w:szCs w:val="21"/>
                <w:lang w:bidi="ar"/>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pacing w:val="-10"/>
                <w:szCs w:val="21"/>
              </w:rPr>
            </w:pPr>
            <w:r>
              <w:rPr>
                <w:rFonts w:hint="eastAsia" w:ascii="仿宋_GB2312" w:hAnsi="仿宋_GB2312" w:eastAsia="仿宋_GB2312" w:cs="仿宋_GB2312"/>
                <w:szCs w:val="21"/>
              </w:rPr>
              <w:t>小计（占总课时比例13 %）</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765" w:type="dxa"/>
            <w:vAlign w:val="center"/>
          </w:tcPr>
          <w:p>
            <w:pPr>
              <w:tabs>
                <w:tab w:val="left" w:pos="327"/>
              </w:tabs>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432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25</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专业核心课程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商业插画设计</w:t>
            </w:r>
          </w:p>
        </w:tc>
        <w:tc>
          <w:tcPr>
            <w:tcW w:w="1730" w:type="dxa"/>
            <w:vAlign w:val="center"/>
          </w:tcPr>
          <w:p>
            <w:pPr>
              <w:widowControl/>
              <w:jc w:val="center"/>
              <w:textAlignment w:val="bottom"/>
              <w:rPr>
                <w:rFonts w:ascii="Arial" w:hAnsi="Arial" w:cs="Arial"/>
                <w:color w:val="000000"/>
                <w:sz w:val="20"/>
                <w:szCs w:val="20"/>
              </w:rPr>
            </w:pPr>
            <w:r>
              <w:rPr>
                <w:rFonts w:ascii="仿宋_GB2312" w:hAnsi="仿宋_GB2312" w:eastAsia="仿宋_GB2312" w:cs="仿宋_GB2312"/>
                <w:kern w:val="0"/>
                <w:szCs w:val="21"/>
              </w:rPr>
              <w:t>KCXX322</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4</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广告设计与制作</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KCXX323</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字体与标志设计</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KCXX324</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包装设计与制作</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KCXX325</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书籍装帧设计</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KCXX326</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72</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73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4</w:t>
            </w: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图形创意</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KCXX110</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54</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w:t>
            </w:r>
          </w:p>
        </w:tc>
        <w:tc>
          <w:tcPr>
            <w:tcW w:w="735" w:type="dxa"/>
            <w:vAlign w:val="center"/>
          </w:tcPr>
          <w:p>
            <w:pPr>
              <w:jc w:val="center"/>
              <w:rPr>
                <w:rFonts w:ascii="仿宋_GB2312" w:hAnsi="仿宋_GB2312" w:eastAsia="仿宋_GB2312" w:cs="仿宋_GB2312"/>
                <w:szCs w:val="21"/>
              </w:rPr>
            </w:pPr>
          </w:p>
        </w:tc>
        <w:tc>
          <w:tcPr>
            <w:tcW w:w="705" w:type="dxa"/>
            <w:vAlign w:val="center"/>
          </w:tcPr>
          <w:p>
            <w:pPr>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影视后期</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KCXX328</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126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126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widowControl/>
              <w:jc w:val="center"/>
              <w:textAlignment w:val="center"/>
              <w:rPr>
                <w:rFonts w:ascii="仿宋_GB2312" w:hAnsi="仿宋_GB2312" w:eastAsia="仿宋_GB2312" w:cs="仿宋_GB2312"/>
                <w:szCs w:val="21"/>
              </w:rPr>
            </w:pPr>
          </w:p>
        </w:tc>
        <w:tc>
          <w:tcPr>
            <w:tcW w:w="73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 16.4 %）</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540</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宋体" w:eastAsia="仿宋_GB2312" w:cs="仿宋_GB2312"/>
                <w:color w:val="000000"/>
                <w:szCs w:val="21"/>
              </w:rPr>
            </w:pPr>
            <w:r>
              <w:rPr>
                <w:rFonts w:hint="eastAsia" w:ascii="仿宋_GB2312" w:hAnsi="宋体" w:eastAsia="仿宋_GB2312" w:cs="仿宋_GB2312"/>
                <w:color w:val="000000"/>
                <w:kern w:val="0"/>
                <w:szCs w:val="21"/>
                <w:lang w:bidi="ar"/>
              </w:rPr>
              <w:t>540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textDirection w:val="tbRlV"/>
            <w:vAlign w:val="center"/>
          </w:tcPr>
          <w:p>
            <w:pPr>
              <w:adjustRightInd w:val="0"/>
              <w:snapToGrid w:val="0"/>
              <w:ind w:left="113" w:right="113"/>
              <w:jc w:val="center"/>
              <w:rPr>
                <w:rFonts w:ascii="仿宋_GB2312" w:hAnsi="仿宋_GB2312" w:eastAsia="仿宋_GB2312" w:cs="仿宋_GB2312"/>
                <w:szCs w:val="21"/>
              </w:rPr>
            </w:pPr>
            <w:r>
              <w:rPr>
                <w:rFonts w:hint="eastAsia" w:ascii="仿宋_GB2312" w:hAnsi="仿宋_GB2312" w:eastAsia="仿宋_GB2312" w:cs="仿宋_GB2312"/>
                <w:szCs w:val="21"/>
              </w:rPr>
              <w:t>专业拓展课程</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网页</w:t>
            </w:r>
            <w:r>
              <w:rPr>
                <w:rFonts w:ascii="仿宋_GB2312" w:hAnsi="宋体" w:eastAsia="仿宋_GB2312" w:cs="仿宋_GB2312"/>
                <w:color w:val="000000"/>
                <w:kern w:val="0"/>
                <w:szCs w:val="21"/>
                <w:lang w:bidi="ar"/>
              </w:rPr>
              <w:t>设计与制作</w:t>
            </w:r>
          </w:p>
        </w:tc>
        <w:tc>
          <w:tcPr>
            <w:tcW w:w="173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KCXX221</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FLASH动画制作</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KCXX206</w:t>
            </w: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排版与印刷</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color w:val="000000"/>
                <w:kern w:val="0"/>
                <w:szCs w:val="21"/>
                <w:lang w:bidi="ar"/>
              </w:rPr>
              <w:t>36</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考试</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textDirection w:val="tbRlV"/>
            <w:vAlign w:val="center"/>
          </w:tcPr>
          <w:p>
            <w:pPr>
              <w:adjustRightInd w:val="0"/>
              <w:snapToGrid w:val="0"/>
              <w:ind w:left="113" w:right="113"/>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 3.3%）</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108 </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实习实训</w:t>
            </w: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2528"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认识实习</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KCRS001 </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1/2周</w:t>
            </w: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平面设计综合实训</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 xml:space="preserve">KCSX329 </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影视后期综合实训</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KCSX310</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168</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9</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12</w:t>
            </w: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岗位实习</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kern w:val="0"/>
                <w:szCs w:val="21"/>
              </w:rPr>
              <w:t>KCGW002</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720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40</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4周</w:t>
            </w:r>
          </w:p>
        </w:tc>
        <w:tc>
          <w:tcPr>
            <w:tcW w:w="69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20周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99" w:type="dxa"/>
            <w:vMerge w:val="continue"/>
            <w:vAlign w:val="center"/>
          </w:tcPr>
          <w:p>
            <w:pPr>
              <w:adjustRightInd w:val="0"/>
              <w:snapToGrid w:val="0"/>
              <w:jc w:val="center"/>
              <w:rPr>
                <w:rFonts w:ascii="仿宋_GB2312" w:hAnsi="仿宋_GB2312" w:eastAsia="仿宋_GB2312" w:cs="仿宋_GB2312"/>
                <w:szCs w:val="21"/>
              </w:rPr>
            </w:pPr>
          </w:p>
        </w:tc>
        <w:tc>
          <w:tcPr>
            <w:tcW w:w="603" w:type="dxa"/>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widowControl/>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小计（占总课时比例32.6%）</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1071</w:t>
            </w:r>
          </w:p>
        </w:tc>
        <w:tc>
          <w:tcPr>
            <w:tcW w:w="765" w:type="dxa"/>
            <w:vAlign w:val="center"/>
          </w:tcPr>
          <w:p>
            <w:pPr>
              <w:adjustRightInd w:val="0"/>
              <w:snapToGrid w:val="0"/>
              <w:jc w:val="center"/>
              <w:rPr>
                <w:rFonts w:ascii="仿宋_GB2312" w:hAnsi="仿宋_GB2312" w:eastAsia="仿宋_GB2312" w:cs="仿宋_GB2312"/>
                <w:szCs w:val="21"/>
              </w:rPr>
            </w:pP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1071</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59</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02" w:type="dxa"/>
            <w:gridSpan w:val="2"/>
            <w:vMerge w:val="restart"/>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其他</w:t>
            </w:r>
          </w:p>
        </w:tc>
        <w:tc>
          <w:tcPr>
            <w:tcW w:w="814" w:type="dxa"/>
            <w:vAlign w:val="center"/>
          </w:tcPr>
          <w:p>
            <w:pPr>
              <w:widowControl/>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1</w:t>
            </w:r>
          </w:p>
        </w:tc>
        <w:tc>
          <w:tcPr>
            <w:tcW w:w="2528" w:type="dxa"/>
            <w:vAlign w:val="center"/>
          </w:tcPr>
          <w:p>
            <w:pPr>
              <w:widowControl/>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入学教育与军训</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KCJX001</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1周</w:t>
            </w: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02" w:type="dxa"/>
            <w:gridSpan w:val="2"/>
            <w:vMerge w:val="continue"/>
            <w:vAlign w:val="center"/>
          </w:tcPr>
          <w:p>
            <w:pPr>
              <w:adjustRightInd w:val="0"/>
              <w:snapToGrid w:val="0"/>
              <w:jc w:val="center"/>
              <w:rPr>
                <w:rFonts w:ascii="仿宋_GB2312" w:hAnsi="仿宋_GB2312" w:eastAsia="仿宋_GB2312" w:cs="仿宋_GB2312"/>
                <w:szCs w:val="21"/>
              </w:rPr>
            </w:pPr>
          </w:p>
        </w:tc>
        <w:tc>
          <w:tcPr>
            <w:tcW w:w="814" w:type="dxa"/>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kern w:val="0"/>
                <w:szCs w:val="21"/>
              </w:rPr>
              <w:t>2</w:t>
            </w:r>
          </w:p>
        </w:tc>
        <w:tc>
          <w:tcPr>
            <w:tcW w:w="2528"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毕业教育</w:t>
            </w:r>
          </w:p>
        </w:tc>
        <w:tc>
          <w:tcPr>
            <w:tcW w:w="1730"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KCBY002</w:t>
            </w: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1102" w:type="dxa"/>
            <w:gridSpan w:val="2"/>
            <w:vMerge w:val="continue"/>
            <w:vAlign w:val="center"/>
          </w:tcPr>
          <w:p>
            <w:pPr>
              <w:adjustRightInd w:val="0"/>
              <w:snapToGrid w:val="0"/>
              <w:jc w:val="center"/>
              <w:rPr>
                <w:rFonts w:ascii="仿宋_GB2312" w:hAnsi="仿宋_GB2312" w:eastAsia="仿宋_GB2312" w:cs="仿宋_GB2312"/>
                <w:szCs w:val="21"/>
              </w:rPr>
            </w:pPr>
          </w:p>
        </w:tc>
        <w:tc>
          <w:tcPr>
            <w:tcW w:w="3342" w:type="dxa"/>
            <w:gridSpan w:val="2"/>
            <w:vAlign w:val="center"/>
          </w:tcPr>
          <w:p>
            <w:pPr>
              <w:adjustRightInd w:val="0"/>
              <w:snapToGrid w:val="0"/>
              <w:jc w:val="center"/>
              <w:rPr>
                <w:rFonts w:ascii="仿宋_GB2312" w:hAnsi="仿宋_GB2312" w:eastAsia="仿宋_GB2312" w:cs="仿宋_GB2312"/>
                <w:kern w:val="0"/>
                <w:szCs w:val="21"/>
              </w:rPr>
            </w:pPr>
            <w:r>
              <w:rPr>
                <w:rFonts w:hint="eastAsia" w:ascii="仿宋_GB2312" w:hAnsi="仿宋_GB2312" w:eastAsia="仿宋_GB2312" w:cs="仿宋_GB2312"/>
                <w:szCs w:val="21"/>
              </w:rPr>
              <w:t>小计（占总课时比例1.8%）</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60 </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15</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30</w:t>
            </w:r>
          </w:p>
        </w:tc>
        <w:tc>
          <w:tcPr>
            <w:tcW w:w="82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690" w:type="dxa"/>
            <w:vAlign w:val="center"/>
          </w:tcPr>
          <w:p>
            <w:pPr>
              <w:adjustRightInd w:val="0"/>
              <w:snapToGrid w:val="0"/>
              <w:jc w:val="center"/>
              <w:rPr>
                <w:rFonts w:ascii="仿宋_GB2312" w:hAnsi="仿宋_GB2312" w:eastAsia="仿宋_GB2312" w:cs="仿宋_GB2312"/>
                <w:szCs w:val="21"/>
              </w:rPr>
            </w:pPr>
          </w:p>
        </w:tc>
        <w:tc>
          <w:tcPr>
            <w:tcW w:w="4500" w:type="dxa"/>
            <w:gridSpan w:val="6"/>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444" w:type="dxa"/>
            <w:gridSpan w:val="4"/>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周学时及学分合计</w:t>
            </w:r>
          </w:p>
        </w:tc>
        <w:tc>
          <w:tcPr>
            <w:tcW w:w="1730" w:type="dxa"/>
            <w:vAlign w:val="center"/>
          </w:tcPr>
          <w:p>
            <w:pPr>
              <w:adjustRightInd w:val="0"/>
              <w:snapToGrid w:val="0"/>
              <w:jc w:val="center"/>
              <w:rPr>
                <w:rFonts w:ascii="仿宋_GB2312" w:hAnsi="仿宋_GB2312" w:eastAsia="仿宋_GB2312" w:cs="仿宋_GB2312"/>
                <w:szCs w:val="21"/>
              </w:rPr>
            </w:pPr>
          </w:p>
        </w:tc>
        <w:tc>
          <w:tcPr>
            <w:tcW w:w="97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3278</w:t>
            </w:r>
          </w:p>
        </w:tc>
        <w:tc>
          <w:tcPr>
            <w:tcW w:w="765" w:type="dxa"/>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w:t>
            </w:r>
          </w:p>
        </w:tc>
        <w:tc>
          <w:tcPr>
            <w:tcW w:w="765" w:type="dxa"/>
            <w:vAlign w:val="center"/>
          </w:tcPr>
          <w:p>
            <w:pPr>
              <w:adjustRightInd w:val="0"/>
              <w:snapToGrid w:val="0"/>
              <w:jc w:val="center"/>
              <w:rPr>
                <w:rFonts w:ascii="仿宋_GB2312" w:hAnsi="仿宋_GB2312" w:eastAsia="仿宋_GB2312" w:cs="仿宋_GB2312"/>
                <w:szCs w:val="21"/>
              </w:rPr>
            </w:pPr>
          </w:p>
        </w:tc>
        <w:tc>
          <w:tcPr>
            <w:tcW w:w="825" w:type="dxa"/>
            <w:vAlign w:val="center"/>
          </w:tcPr>
          <w:p>
            <w:pPr>
              <w:adjustRightInd w:val="0"/>
              <w:snapToGrid w:val="0"/>
              <w:jc w:val="center"/>
              <w:rPr>
                <w:rFonts w:ascii="仿宋_GB2312" w:hAnsi="仿宋_GB2312" w:eastAsia="仿宋_GB2312" w:cs="仿宋_GB2312"/>
                <w:szCs w:val="21"/>
              </w:rPr>
            </w:pPr>
            <w:r>
              <w:rPr>
                <w:rFonts w:ascii="仿宋_GB2312" w:hAnsi="仿宋_GB2312" w:eastAsia="仿宋_GB2312" w:cs="仿宋_GB2312"/>
                <w:szCs w:val="21"/>
              </w:rPr>
              <w:t>185</w:t>
            </w:r>
          </w:p>
        </w:tc>
        <w:tc>
          <w:tcPr>
            <w:tcW w:w="690" w:type="dxa"/>
            <w:vAlign w:val="center"/>
          </w:tcPr>
          <w:p>
            <w:pPr>
              <w:adjustRightInd w:val="0"/>
              <w:snapToGrid w:val="0"/>
              <w:jc w:val="center"/>
              <w:rPr>
                <w:rFonts w:ascii="仿宋_GB2312" w:hAnsi="仿宋_GB2312" w:eastAsia="仿宋_GB2312" w:cs="仿宋_GB2312"/>
                <w:szCs w:val="21"/>
              </w:rPr>
            </w:pPr>
          </w:p>
        </w:tc>
        <w:tc>
          <w:tcPr>
            <w:tcW w:w="970"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735" w:type="dxa"/>
            <w:vAlign w:val="center"/>
          </w:tcPr>
          <w:p>
            <w:pPr>
              <w:adjustRightInd w:val="0"/>
              <w:snapToGrid w:val="0"/>
              <w:jc w:val="center"/>
              <w:rPr>
                <w:rFonts w:ascii="仿宋_GB2312" w:hAnsi="仿宋_GB2312" w:eastAsia="仿宋_GB2312" w:cs="仿宋_GB2312"/>
                <w:szCs w:val="21"/>
              </w:rPr>
            </w:pPr>
          </w:p>
        </w:tc>
        <w:tc>
          <w:tcPr>
            <w:tcW w:w="705" w:type="dxa"/>
            <w:vAlign w:val="center"/>
          </w:tcPr>
          <w:p>
            <w:pPr>
              <w:adjustRightInd w:val="0"/>
              <w:snapToGrid w:val="0"/>
              <w:jc w:val="center"/>
              <w:rPr>
                <w:rFonts w:ascii="仿宋_GB2312" w:hAnsi="仿宋_GB2312" w:eastAsia="仿宋_GB2312" w:cs="仿宋_GB2312"/>
                <w:szCs w:val="21"/>
              </w:rPr>
            </w:pPr>
          </w:p>
        </w:tc>
        <w:tc>
          <w:tcPr>
            <w:tcW w:w="690" w:type="dxa"/>
            <w:vAlign w:val="center"/>
          </w:tcPr>
          <w:p>
            <w:pPr>
              <w:adjustRightInd w:val="0"/>
              <w:snapToGrid w:val="0"/>
              <w:jc w:val="center"/>
              <w:rPr>
                <w:rFonts w:ascii="仿宋_GB2312" w:hAnsi="仿宋_GB2312" w:eastAsia="仿宋_GB2312" w:cs="仿宋_GB2312"/>
                <w:szCs w:val="21"/>
              </w:rPr>
            </w:pPr>
          </w:p>
        </w:tc>
        <w:tc>
          <w:tcPr>
            <w:tcW w:w="695" w:type="dxa"/>
            <w:vAlign w:val="center"/>
          </w:tcPr>
          <w:p>
            <w:pPr>
              <w:adjustRightInd w:val="0"/>
              <w:snapToGrid w:val="0"/>
              <w:jc w:val="center"/>
              <w:rPr>
                <w:rFonts w:ascii="仿宋_GB2312" w:hAnsi="仿宋_GB2312" w:eastAsia="仿宋_GB2312" w:cs="仿宋_GB2312"/>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4444" w:type="dxa"/>
            <w:gridSpan w:val="4"/>
            <w:vAlign w:val="center"/>
          </w:tcPr>
          <w:p>
            <w:pPr>
              <w:adjustRightInd w:val="0"/>
              <w:snapToGrid w:val="0"/>
              <w:jc w:val="center"/>
              <w:rPr>
                <w:rFonts w:ascii="仿宋_GB2312" w:hAnsi="仿宋_GB2312" w:eastAsia="仿宋_GB2312" w:cs="仿宋_GB2312"/>
                <w:szCs w:val="21"/>
              </w:rPr>
            </w:pPr>
            <w:r>
              <w:rPr>
                <w:rFonts w:hint="eastAsia" w:ascii="仿宋_GB2312" w:hAnsi="仿宋_GB2312" w:eastAsia="仿宋_GB2312" w:cs="仿宋_GB2312"/>
                <w:szCs w:val="21"/>
              </w:rPr>
              <w:t>总学时</w:t>
            </w:r>
          </w:p>
        </w:tc>
        <w:tc>
          <w:tcPr>
            <w:tcW w:w="1730" w:type="dxa"/>
            <w:vAlign w:val="center"/>
          </w:tcPr>
          <w:p>
            <w:pPr>
              <w:adjustRightInd w:val="0"/>
              <w:snapToGrid w:val="0"/>
              <w:jc w:val="center"/>
              <w:rPr>
                <w:rFonts w:ascii="仿宋_GB2312" w:hAnsi="仿宋_GB2312" w:eastAsia="仿宋_GB2312" w:cs="仿宋_GB2312"/>
                <w:szCs w:val="21"/>
              </w:rPr>
            </w:pPr>
          </w:p>
        </w:tc>
        <w:tc>
          <w:tcPr>
            <w:tcW w:w="8520" w:type="dxa"/>
            <w:gridSpan w:val="11"/>
            <w:vAlign w:val="center"/>
          </w:tcPr>
          <w:p>
            <w:pPr>
              <w:adjustRightInd w:val="0"/>
              <w:snapToGrid w:val="0"/>
              <w:jc w:val="center"/>
              <w:rPr>
                <w:rFonts w:ascii="仿宋_GB2312" w:hAnsi="仿宋_GB2312" w:eastAsia="仿宋_GB2312" w:cs="仿宋_GB2312"/>
                <w:szCs w:val="21"/>
              </w:rPr>
            </w:pPr>
          </w:p>
        </w:tc>
      </w:tr>
    </w:tbl>
    <w:p>
      <w:pPr>
        <w:widowControl/>
        <w:shd w:val="clear" w:color="auto" w:fill="FFFFFF"/>
        <w:spacing w:line="520" w:lineRule="exact"/>
        <w:ind w:firstLine="640" w:firstLineChars="200"/>
        <w:jc w:val="left"/>
        <w:rPr>
          <w:rFonts w:ascii="黑体" w:hAnsi="黑体" w:eastAsia="黑体" w:cs="黑体"/>
          <w:kern w:val="0"/>
          <w:sz w:val="32"/>
          <w:szCs w:val="32"/>
          <w:shd w:val="clear" w:color="auto" w:fill="FFFFFF"/>
          <w:lang w:bidi="ar"/>
        </w:rPr>
        <w:sectPr>
          <w:pgSz w:w="16838" w:h="11906" w:orient="landscape"/>
          <w:pgMar w:top="1531" w:right="2041" w:bottom="1531" w:left="1984" w:header="851" w:footer="992" w:gutter="0"/>
          <w:pgNumType w:fmt="decimal"/>
          <w:cols w:space="720" w:num="1"/>
          <w:docGrid w:type="lines" w:linePitch="312" w:charSpace="0"/>
        </w:sectPr>
      </w:pPr>
    </w:p>
    <w:p>
      <w:pPr>
        <w:widowControl/>
        <w:shd w:val="clear" w:color="auto" w:fill="FFFFFF"/>
        <w:spacing w:line="520" w:lineRule="exact"/>
        <w:ind w:firstLine="640" w:firstLineChars="200"/>
        <w:jc w:val="left"/>
        <w:outlineLvl w:val="0"/>
        <w:rPr>
          <w:rFonts w:ascii="黑体" w:hAnsi="黑体" w:eastAsia="黑体" w:cs="黑体"/>
          <w:sz w:val="32"/>
          <w:szCs w:val="32"/>
        </w:rPr>
      </w:pPr>
      <w:bookmarkStart w:id="18" w:name="_Toc6666"/>
      <w:r>
        <w:rPr>
          <w:rFonts w:hint="eastAsia" w:ascii="黑体" w:hAnsi="黑体" w:eastAsia="黑体" w:cs="黑体"/>
          <w:kern w:val="0"/>
          <w:sz w:val="32"/>
          <w:szCs w:val="32"/>
          <w:shd w:val="clear" w:color="auto" w:fill="FFFFFF"/>
          <w:lang w:val="en-US" w:eastAsia="zh-CN" w:bidi="ar"/>
        </w:rPr>
        <w:t>十</w:t>
      </w:r>
      <w:r>
        <w:rPr>
          <w:rFonts w:hint="eastAsia" w:ascii="黑体" w:hAnsi="黑体" w:eastAsia="黑体" w:cs="黑体"/>
          <w:kern w:val="0"/>
          <w:sz w:val="32"/>
          <w:szCs w:val="32"/>
          <w:shd w:val="clear" w:color="auto" w:fill="FFFFFF"/>
          <w:lang w:bidi="ar"/>
        </w:rPr>
        <w:t>、实施保障</w:t>
      </w:r>
      <w:bookmarkEnd w:id="18"/>
    </w:p>
    <w:p>
      <w:pPr>
        <w:numPr>
          <w:ilvl w:val="0"/>
          <w:numId w:val="0"/>
        </w:numPr>
        <w:adjustRightInd w:val="0"/>
        <w:spacing w:line="560" w:lineRule="exact"/>
        <w:ind w:firstLine="640" w:firstLineChars="200"/>
        <w:outlineLvl w:val="1"/>
        <w:rPr>
          <w:rFonts w:hint="eastAsia" w:ascii="楷体_GB2312" w:hAnsi="楷体_GB2312" w:eastAsia="楷体_GB2312" w:cs="楷体_GB2312"/>
          <w:sz w:val="32"/>
          <w:szCs w:val="32"/>
        </w:rPr>
      </w:pPr>
      <w:bookmarkStart w:id="19" w:name="_Toc17450"/>
      <w:r>
        <w:rPr>
          <w:rFonts w:hint="eastAsia" w:ascii="楷体_GB2312" w:hAnsi="楷体_GB2312" w:eastAsia="楷体_GB2312" w:cs="楷体_GB2312"/>
          <w:kern w:val="2"/>
          <w:sz w:val="32"/>
          <w:szCs w:val="32"/>
          <w:lang w:val="en-US" w:eastAsia="zh-CN" w:bidi="ar-SA"/>
        </w:rPr>
        <w:t>（一）</w:t>
      </w:r>
      <w:r>
        <w:rPr>
          <w:rFonts w:hint="eastAsia" w:ascii="楷体_GB2312" w:hAnsi="楷体_GB2312" w:eastAsia="楷体_GB2312" w:cs="楷体_GB2312"/>
          <w:sz w:val="32"/>
          <w:szCs w:val="32"/>
        </w:rPr>
        <w:t>师资队伍</w:t>
      </w:r>
      <w:bookmarkEnd w:id="19"/>
    </w:p>
    <w:p>
      <w:pPr>
        <w:adjustRightInd w:val="0"/>
        <w:spacing w:line="560" w:lineRule="exact"/>
        <w:rPr>
          <w:rFonts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 xml:space="preserve"> 1.队伍结构</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专业师资要符合教育部《中等职业学校教师专业标准》《中等职业学校设置标准》和《山东省中等职业学校专业建设标准》中对教师数量、结构和素质的基本要求。</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.专业教师数量及结构要求</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计算机平面设计专业作为示范性专业,要求专业专任教师数计算机平面设计专业“双师型”专任教师数11人，该专业专业课专任教师总数23人，双师型教师占比为47%。</w:t>
      </w:r>
    </w:p>
    <w:p>
      <w:pPr>
        <w:autoSpaceDE w:val="0"/>
        <w:autoSpaceDN w:val="0"/>
        <w:adjustRightInd w:val="0"/>
        <w:spacing w:line="560" w:lineRule="exact"/>
        <w:ind w:left="7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.专业带头人</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专业团队带头人业务水平高，应具有本专业及相关专业大学本科以上学历</w:t>
      </w:r>
      <w:r>
        <w:rPr>
          <w:rFonts w:hint="eastAsia" w:ascii="仿宋_GB2312" w:hAnsi="仿宋_GB2312" w:eastAsia="仿宋_GB2312" w:cs="仿宋_GB2312"/>
          <w:sz w:val="32"/>
          <w:szCs w:val="32"/>
          <w:lang w:val="en-US" w:eastAsia="zh-CN"/>
        </w:rPr>
        <w:t>具有</w:t>
      </w:r>
      <w:r>
        <w:rPr>
          <w:rFonts w:hint="eastAsia" w:ascii="仿宋_GB2312" w:hAnsi="仿宋_GB2312" w:eastAsia="仿宋_GB2312" w:cs="仿宋_GB2312"/>
          <w:sz w:val="32"/>
          <w:szCs w:val="32"/>
        </w:rPr>
        <w:t>较强的实践能力，能广泛联系行业企业，了解国内外计算机平面设计行业发展新趋势，准确掌握行业企业用人需求，具有组织开展专业建设、课程开发、教科研工作和企业服务能力，在本专业教学改革发展中起到引领示范作用。</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.专任教师</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四有好老师”的标准和要求建设专业教师队伍，将师德师风作为教师队伍建设的第一标准。专任教师应具备相关专业本科以上学历，中级及以上职业资格证书，具有课程开发与实施能力、能胜任项目教学、模块化理论实践一体化教学，课程和技能实训教学目标达成度高，具有较高的数字素养，能熟练应用信息化手段教学和课程思政教学设计的能力。</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.兼职教师</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从本专业相关行业企业聘任，要求具有良好的思想政治素质、职业道德和工匠精神；具有扎实的专业知识和丰富实践经验，高级以上职称，能承担《素描》、《色彩》、《构成基础》、《图案设计》、《图形图形处理》、《视频剪辑》、《商业插画设计》、《广告设计与制作》、《影视后期》等专业技能课程教学，胜任设计师助理、设计师、修图员、视频剪辑员等岗位的实习实训指导和学生职业发展规划指导等任务。</w:t>
      </w:r>
    </w:p>
    <w:p>
      <w:pPr>
        <w:numPr>
          <w:ilvl w:val="0"/>
          <w:numId w:val="0"/>
        </w:num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20" w:name="_Toc9142"/>
      <w:r>
        <w:rPr>
          <w:rFonts w:hint="eastAsia" w:ascii="楷体_GB2312" w:hAnsi="楷体_GB2312" w:eastAsia="楷体_GB2312" w:cs="楷体_GB2312"/>
          <w:kern w:val="2"/>
          <w:sz w:val="32"/>
          <w:szCs w:val="32"/>
          <w:lang w:val="en-US" w:eastAsia="zh-CN" w:bidi="ar-SA"/>
        </w:rPr>
        <w:t>（二）</w:t>
      </w:r>
      <w:r>
        <w:rPr>
          <w:rFonts w:hint="eastAsia" w:ascii="楷体_GB2312" w:hAnsi="楷体_GB2312" w:eastAsia="楷体_GB2312" w:cs="楷体_GB2312"/>
          <w:sz w:val="32"/>
          <w:szCs w:val="32"/>
        </w:rPr>
        <w:t>教学设施</w:t>
      </w:r>
      <w:bookmarkEnd w:id="20"/>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主要包括能够满足正常教学的课程教学、实习实训所需要的专业教室、校内实训室和校外实习基地。</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1.专业教室基本条件</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教室配备黑（白）板、西沃白板、音响设备、互联网接入或无线网络环境，并具有网络安全防护措施；能够通过教学资源平台和在线网络课程开展混合教学；安装监控视频系统，可以进行线上授课；应急照明装置并保持良好状态，符合紧急疏散要求、标志明显、保持逃生通道畅通无阻。</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2.校内外实训场所基本要求</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参照教育部《职业院校专业实训教学条件建设标准》和《山东省中等职业学校专业建设标准（试行）》（鲁教职字〔2012〕2号）中的要求，根据本专业的人才培养目标的要求以及实习实训的需要，在原有基础上、新建、扩建，优化整合，形成功能齐全的技能实训室，满足实训教学需要，按照每班36名学生为基准，实训室配置如下：</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校内实训室有5个，分别是计算机平面机房（1）、计算机平面机房（2）、计算机平面机房（3）、计算机平面机房（4）、计算机平面机房（5）。</w:t>
      </w:r>
    </w:p>
    <w:p>
      <w:pPr>
        <w:autoSpaceDE w:val="0"/>
        <w:autoSpaceDN w:val="0"/>
        <w:adjustRightInd w:val="0"/>
        <w:spacing w:line="560" w:lineRule="exact"/>
        <w:jc w:val="center"/>
        <w:rPr>
          <w:rFonts w:ascii="仿宋_GB2312" w:hAnsi="仿宋_GB2312" w:eastAsia="仿宋_GB2312" w:cs="仿宋_GB2312"/>
          <w:sz w:val="32"/>
          <w:szCs w:val="32"/>
        </w:rPr>
      </w:pPr>
      <w:r>
        <w:rPr>
          <w:rFonts w:hint="eastAsia" w:ascii="黑体" w:hAnsi="黑体" w:eastAsia="黑体" w:cs="黑体"/>
          <w:sz w:val="24"/>
        </w:rPr>
        <w:t xml:space="preserve">表10 </w:t>
      </w:r>
      <w:r>
        <w:rPr>
          <w:rFonts w:hint="eastAsia" w:ascii="黑体" w:hAnsi="黑体" w:eastAsia="黑体" w:cs="黑体"/>
          <w:sz w:val="24"/>
          <w:lang w:val="en-US" w:eastAsia="zh-CN"/>
        </w:rPr>
        <w:t>计算机平</w:t>
      </w:r>
      <w:r>
        <w:rPr>
          <w:rFonts w:hint="eastAsia" w:ascii="黑体" w:hAnsi="黑体" w:eastAsia="黑体" w:cs="黑体"/>
          <w:sz w:val="24"/>
        </w:rPr>
        <w:t>专业实训室一览表</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
        <w:gridCol w:w="1485"/>
        <w:gridCol w:w="1421"/>
        <w:gridCol w:w="1088"/>
        <w:gridCol w:w="1956"/>
        <w:gridCol w:w="1384"/>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1485"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实训室类别</w:t>
            </w:r>
          </w:p>
        </w:tc>
        <w:tc>
          <w:tcPr>
            <w:tcW w:w="1421"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实训室名称</w:t>
            </w:r>
          </w:p>
        </w:tc>
        <w:tc>
          <w:tcPr>
            <w:tcW w:w="1088"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数量</w:t>
            </w:r>
          </w:p>
        </w:tc>
        <w:tc>
          <w:tcPr>
            <w:tcW w:w="1956"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主要工具和设备</w:t>
            </w:r>
          </w:p>
        </w:tc>
        <w:tc>
          <w:tcPr>
            <w:tcW w:w="1384"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数量</w:t>
            </w:r>
          </w:p>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（台/套）</w:t>
            </w:r>
          </w:p>
        </w:tc>
        <w:tc>
          <w:tcPr>
            <w:tcW w:w="929" w:type="dxa"/>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实训项目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vMerge w:val="restart"/>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1485" w:type="dxa"/>
            <w:vMerge w:val="restart"/>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技能</w:t>
            </w:r>
          </w:p>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实训室  </w:t>
            </w:r>
          </w:p>
        </w:tc>
        <w:tc>
          <w:tcPr>
            <w:tcW w:w="1421" w:type="dxa"/>
            <w:vMerge w:val="restart"/>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平面设计实训室  </w:t>
            </w:r>
          </w:p>
        </w:tc>
        <w:tc>
          <w:tcPr>
            <w:tcW w:w="1088" w:type="dxa"/>
            <w:vMerge w:val="restart"/>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5</w:t>
            </w:r>
          </w:p>
        </w:tc>
        <w:tc>
          <w:tcPr>
            <w:tcW w:w="1956"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电脑</w:t>
            </w:r>
          </w:p>
        </w:tc>
        <w:tc>
          <w:tcPr>
            <w:tcW w:w="1384"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40</w:t>
            </w:r>
          </w:p>
        </w:tc>
        <w:tc>
          <w:tcPr>
            <w:tcW w:w="929" w:type="dxa"/>
            <w:vMerge w:val="restart"/>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平面设计实训</w:t>
            </w:r>
          </w:p>
          <w:p>
            <w:pPr>
              <w:autoSpaceDE w:val="0"/>
              <w:autoSpaceDN w:val="0"/>
              <w:adjustRightInd w:val="0"/>
              <w:spacing w:line="320" w:lineRule="exact"/>
              <w:jc w:val="center"/>
              <w:rPr>
                <w:rFonts w:ascii="仿宋_GB2312" w:hAnsi="仿宋_GB2312" w:eastAsia="仿宋_GB2312" w:cs="仿宋_GB2312"/>
                <w:sz w:val="24"/>
              </w:rPr>
            </w:pPr>
          </w:p>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影视后期实训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85"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21"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088"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956"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电脑</w:t>
            </w:r>
          </w:p>
        </w:tc>
        <w:tc>
          <w:tcPr>
            <w:tcW w:w="1384"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40</w:t>
            </w:r>
          </w:p>
        </w:tc>
        <w:tc>
          <w:tcPr>
            <w:tcW w:w="929" w:type="dxa"/>
            <w:vMerge w:val="continue"/>
            <w:vAlign w:val="center"/>
          </w:tcPr>
          <w:p>
            <w:pPr>
              <w:autoSpaceDE w:val="0"/>
              <w:autoSpaceDN w:val="0"/>
              <w:adjustRightInd w:val="0"/>
              <w:spacing w:line="32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97"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85"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21"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088"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956"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电脑</w:t>
            </w:r>
          </w:p>
        </w:tc>
        <w:tc>
          <w:tcPr>
            <w:tcW w:w="1384"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40</w:t>
            </w:r>
          </w:p>
        </w:tc>
        <w:tc>
          <w:tcPr>
            <w:tcW w:w="929" w:type="dxa"/>
            <w:vMerge w:val="continue"/>
            <w:vAlign w:val="center"/>
          </w:tcPr>
          <w:p>
            <w:pPr>
              <w:autoSpaceDE w:val="0"/>
              <w:autoSpaceDN w:val="0"/>
              <w:adjustRightInd w:val="0"/>
              <w:spacing w:line="32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97"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85"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21" w:type="dxa"/>
            <w:vMerge w:val="restart"/>
            <w:vAlign w:val="center"/>
          </w:tcPr>
          <w:p>
            <w:pPr>
              <w:autoSpaceDE w:val="0"/>
              <w:autoSpaceDN w:val="0"/>
              <w:adjustRightIn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影视后期实训室 </w:t>
            </w:r>
          </w:p>
        </w:tc>
        <w:tc>
          <w:tcPr>
            <w:tcW w:w="1088"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956"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电脑</w:t>
            </w:r>
          </w:p>
        </w:tc>
        <w:tc>
          <w:tcPr>
            <w:tcW w:w="1384"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40</w:t>
            </w:r>
          </w:p>
        </w:tc>
        <w:tc>
          <w:tcPr>
            <w:tcW w:w="929" w:type="dxa"/>
            <w:vMerge w:val="continue"/>
            <w:vAlign w:val="center"/>
          </w:tcPr>
          <w:p>
            <w:pPr>
              <w:autoSpaceDE w:val="0"/>
              <w:autoSpaceDN w:val="0"/>
              <w:adjustRightInd w:val="0"/>
              <w:spacing w:line="32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7"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85"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421"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088" w:type="dxa"/>
            <w:vMerge w:val="continue"/>
            <w:vAlign w:val="center"/>
          </w:tcPr>
          <w:p>
            <w:pPr>
              <w:autoSpaceDE w:val="0"/>
              <w:autoSpaceDN w:val="0"/>
              <w:adjustRightInd w:val="0"/>
              <w:spacing w:line="320" w:lineRule="exact"/>
              <w:jc w:val="center"/>
              <w:rPr>
                <w:rFonts w:ascii="仿宋_GB2312" w:hAnsi="仿宋_GB2312" w:eastAsia="仿宋_GB2312" w:cs="仿宋_GB2312"/>
                <w:sz w:val="24"/>
              </w:rPr>
            </w:pPr>
          </w:p>
        </w:tc>
        <w:tc>
          <w:tcPr>
            <w:tcW w:w="1956"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电脑</w:t>
            </w:r>
          </w:p>
        </w:tc>
        <w:tc>
          <w:tcPr>
            <w:tcW w:w="1384" w:type="dxa"/>
            <w:vAlign w:val="center"/>
          </w:tcPr>
          <w:p>
            <w:pPr>
              <w:autoSpaceDE w:val="0"/>
              <w:autoSpaceDN w:val="0"/>
              <w:adjustRightInd w:val="0"/>
              <w:spacing w:line="440" w:lineRule="exact"/>
              <w:jc w:val="center"/>
              <w:rPr>
                <w:rFonts w:ascii="仿宋_GB2312" w:hAnsi="仿宋_GB2312" w:eastAsia="仿宋_GB2312" w:cs="仿宋_GB2312"/>
                <w:sz w:val="24"/>
              </w:rPr>
            </w:pPr>
            <w:r>
              <w:rPr>
                <w:rFonts w:hint="eastAsia" w:ascii="宋体" w:hAnsi="宋体" w:cs="宋体"/>
                <w:szCs w:val="21"/>
              </w:rPr>
              <w:t>40</w:t>
            </w:r>
          </w:p>
        </w:tc>
        <w:tc>
          <w:tcPr>
            <w:tcW w:w="929" w:type="dxa"/>
            <w:vMerge w:val="continue"/>
            <w:vAlign w:val="center"/>
          </w:tcPr>
          <w:p>
            <w:pPr>
              <w:autoSpaceDE w:val="0"/>
              <w:autoSpaceDN w:val="0"/>
              <w:adjustRightInd w:val="0"/>
              <w:spacing w:line="320" w:lineRule="exact"/>
              <w:rPr>
                <w:rFonts w:ascii="仿宋_GB2312" w:hAnsi="仿宋_GB2312" w:eastAsia="仿宋_GB2312" w:cs="仿宋_GB2312"/>
                <w:sz w:val="24"/>
              </w:rPr>
            </w:pPr>
          </w:p>
        </w:tc>
      </w:tr>
    </w:tbl>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3.校外实习场所基本要求</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外实习场所要符合《职业学校学生实习管理规定》、《职业学校校企合作促进办法》等对实习单位的有关要求，经实地考察后，确定为合法经营、管理规范、实习条件完善且符合产业发展实际，符合安全生产法律法规要求，与学校建立稳定合作关系的单位成为实习基地，并签署学校、学生、实习单位三方协议。</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根据本专业人才培养的需要，校外实习基地应不少于3个，能够提供提供修图员、 话务员、设计师助理、视频剪辑员、营销员等实习岗位，可接纳计算机平面设计专业学生到企业进行认识实习和岗位实习。学校和实习单位双方共同制定实习计划，学校能够配备相应数量的指导教师对学生实习进行指导和管理，实习单位能安排有经验的技术人员或管理人员担任实习指导教师，开展专业教学和职业技能训练，完成岗位实习质量评价，做好学生实习服务和管理工作，有保证实习学生日常工作、学习、生活的规章制度，有安全保障、保险保障，依法依规保障学生的基本权益。              </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黑体" w:hAnsi="黑体" w:eastAsia="黑体" w:cs="黑体"/>
          <w:sz w:val="24"/>
        </w:rPr>
        <w:t>表11 计算机平面设计专业校外实习基地一览表</w:t>
      </w:r>
    </w:p>
    <w:tbl>
      <w:tblPr>
        <w:tblStyle w:val="17"/>
        <w:tblW w:w="9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
        <w:gridCol w:w="2082"/>
        <w:gridCol w:w="5253"/>
        <w:gridCol w:w="14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0"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2082"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实习基地名称</w:t>
            </w:r>
          </w:p>
        </w:tc>
        <w:tc>
          <w:tcPr>
            <w:tcW w:w="5253"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实习任务及要求</w:t>
            </w:r>
          </w:p>
        </w:tc>
        <w:tc>
          <w:tcPr>
            <w:tcW w:w="1485"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可接纳学生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6" w:hRule="atLeast"/>
        </w:trPr>
        <w:tc>
          <w:tcPr>
            <w:tcW w:w="890" w:type="dxa"/>
            <w:vAlign w:val="center"/>
          </w:tcPr>
          <w:p>
            <w:pPr>
              <w:autoSpaceDE w:val="0"/>
              <w:autoSpaceDN w:val="0"/>
              <w:adjustRightInd w:val="0"/>
              <w:spacing w:line="400" w:lineRule="exact"/>
              <w:jc w:val="center"/>
              <w:rPr>
                <w:rFonts w:ascii="仿宋_GB2312" w:hAnsi="仿宋_GB2312" w:eastAsia="仿宋_GB2312" w:cs="仿宋_GB2312"/>
                <w:sz w:val="24"/>
              </w:rPr>
            </w:pPr>
            <w:r>
              <w:rPr>
                <w:rFonts w:hint="eastAsia" w:ascii="仿宋_GB2312" w:hAnsi="仿宋_GB2312" w:eastAsia="仿宋_GB2312" w:cs="仿宋_GB2312"/>
                <w:sz w:val="24"/>
              </w:rPr>
              <w:t>1</w:t>
            </w:r>
          </w:p>
        </w:tc>
        <w:tc>
          <w:tcPr>
            <w:tcW w:w="2082"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威海</w:t>
            </w:r>
            <w:r>
              <w:rPr>
                <w:rFonts w:hint="eastAsia" w:ascii="仿宋_GB2312" w:hAnsi="仿宋_GB2312" w:eastAsia="仿宋_GB2312" w:cs="仿宋_GB2312"/>
                <w:sz w:val="24"/>
                <w:lang w:val="en-US" w:eastAsia="zh-CN"/>
              </w:rPr>
              <w:t>汉鼎渔具</w:t>
            </w:r>
            <w:r>
              <w:rPr>
                <w:rFonts w:hint="eastAsia" w:ascii="仿宋_GB2312" w:hAnsi="仿宋_GB2312" w:eastAsia="仿宋_GB2312" w:cs="仿宋_GB2312"/>
                <w:sz w:val="24"/>
              </w:rPr>
              <w:t>有限公司</w:t>
            </w:r>
          </w:p>
        </w:tc>
        <w:tc>
          <w:tcPr>
            <w:tcW w:w="5253"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学习和掌握平面广告制作和影视后期编辑的技术，熟悉平面设计师的工作流程，能够独立的完成广告效果及影视片头的设计与制作，培养学生吃苦耐劳、敢于创新的精神，提高学生职业能力和综合素养。</w:t>
            </w:r>
          </w:p>
        </w:tc>
        <w:tc>
          <w:tcPr>
            <w:tcW w:w="1485"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lang w:val="en-US" w:eastAsia="zh-CN"/>
              </w:rPr>
              <w:t>12</w:t>
            </w:r>
            <w:r>
              <w:rPr>
                <w:rFonts w:hint="eastAsia" w:ascii="仿宋_GB2312" w:hAnsi="仿宋_GB2312" w:eastAsia="仿宋_GB2312" w:cs="仿宋_GB2312"/>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890"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2</w:t>
            </w:r>
          </w:p>
        </w:tc>
        <w:tc>
          <w:tcPr>
            <w:tcW w:w="2082"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威海</w:t>
            </w:r>
            <w:r>
              <w:rPr>
                <w:rFonts w:hint="eastAsia" w:ascii="仿宋_GB2312" w:hAnsi="仿宋_GB2312" w:eastAsia="仿宋_GB2312" w:cs="仿宋_GB2312"/>
                <w:sz w:val="24"/>
                <w:lang w:val="en-US" w:eastAsia="zh-CN"/>
              </w:rPr>
              <w:t>巴黎春天</w:t>
            </w:r>
            <w:r>
              <w:rPr>
                <w:rFonts w:hint="eastAsia" w:ascii="仿宋_GB2312" w:hAnsi="仿宋_GB2312" w:eastAsia="仿宋_GB2312" w:cs="仿宋_GB2312"/>
                <w:sz w:val="24"/>
              </w:rPr>
              <w:t>婚妙影楼</w:t>
            </w:r>
          </w:p>
        </w:tc>
        <w:tc>
          <w:tcPr>
            <w:tcW w:w="5253"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学习和掌握修图的技巧、沟通的艺术，熟悉修片师的工作流程，能够独立的完成修图工作，培养学生吃苦耐劳、敢于创新的精神，提高学生职业能力和综合素养。</w:t>
            </w:r>
          </w:p>
        </w:tc>
        <w:tc>
          <w:tcPr>
            <w:tcW w:w="1485"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lang w:val="en-US" w:eastAsia="zh-CN"/>
              </w:rPr>
              <w:t>16</w:t>
            </w:r>
            <w:r>
              <w:rPr>
                <w:rFonts w:hint="eastAsia" w:ascii="仿宋_GB2312" w:hAnsi="仿宋_GB2312" w:eastAsia="仿宋_GB2312" w:cs="仿宋_GB2312"/>
                <w:sz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trPr>
        <w:tc>
          <w:tcPr>
            <w:tcW w:w="890"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3</w:t>
            </w:r>
          </w:p>
        </w:tc>
        <w:tc>
          <w:tcPr>
            <w:tcW w:w="2082"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lang w:val="en-US" w:eastAsia="zh-CN"/>
              </w:rPr>
              <w:t>威海卓越策划</w:t>
            </w:r>
          </w:p>
        </w:tc>
        <w:tc>
          <w:tcPr>
            <w:tcW w:w="5253"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学习和掌握平面广告制作的技术，熟悉平面设计师的工作流程，能够独立的完成广告效果的设计与制作，培养学生吃苦耐劳、敢于创新的精神，提高学生职业能力和综合素养。</w:t>
            </w:r>
          </w:p>
        </w:tc>
        <w:tc>
          <w:tcPr>
            <w:tcW w:w="1485" w:type="dxa"/>
            <w:vAlign w:val="center"/>
          </w:tcPr>
          <w:p>
            <w:pPr>
              <w:autoSpaceDE w:val="0"/>
              <w:autoSpaceDN w:val="0"/>
              <w:adjustRightInd w:val="0"/>
              <w:spacing w:line="560" w:lineRule="exact"/>
              <w:jc w:val="center"/>
              <w:rPr>
                <w:rFonts w:ascii="仿宋_GB2312" w:hAnsi="仿宋_GB2312" w:eastAsia="仿宋_GB2312" w:cs="仿宋_GB2312"/>
                <w:sz w:val="24"/>
              </w:rPr>
            </w:pPr>
            <w:r>
              <w:rPr>
                <w:rFonts w:hint="eastAsia" w:ascii="仿宋_GB2312" w:hAnsi="仿宋_GB2312" w:eastAsia="仿宋_GB2312" w:cs="仿宋_GB2312"/>
                <w:sz w:val="24"/>
              </w:rPr>
              <w:t>10人</w:t>
            </w:r>
          </w:p>
        </w:tc>
      </w:tr>
    </w:tbl>
    <w:p>
      <w:p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21" w:name="_Toc13690"/>
      <w:r>
        <w:rPr>
          <w:rFonts w:hint="eastAsia" w:ascii="楷体_GB2312" w:hAnsi="楷体_GB2312" w:eastAsia="楷体_GB2312" w:cs="楷体_GB2312"/>
          <w:sz w:val="32"/>
          <w:szCs w:val="32"/>
        </w:rPr>
        <w:t>（三）教学资源</w:t>
      </w:r>
      <w:bookmarkEnd w:id="21"/>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主要包括能满足学生专业学习、教师专业教学研究和教学实施需要的教材、图书和数字资源等。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1.教材选用要求</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建立由专业教师、行业企业专家和教研人员等参与的教材选用机制，完善教材选用、公示和备案制度。按照规范程序选用教材，公共基础课程统一使用国家规划，专业（技能）课程教材按要求选用国家规划教材和省（市）推荐教材。</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2.图书资料配备要求</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本专业相关图书文献配备应能满足人才培养、专业建设、教科研等工作需要，方便师生查询、借阅，且定期更新。主要包括有关《素描》、《包装设计》、《标志设计》等技术类和案例类图书。</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3.数字资源配置要求</w:t>
      </w:r>
    </w:p>
    <w:p>
      <w:pPr>
        <w:autoSpaceDE w:val="0"/>
        <w:autoSpaceDN w:val="0"/>
        <w:adjustRightIn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依托本</w:t>
      </w:r>
      <w:r>
        <w:rPr>
          <w:rFonts w:hint="eastAsia" w:ascii="仿宋_GB2312" w:hAnsi="仿宋_GB2312" w:eastAsia="仿宋_GB2312" w:cs="仿宋_GB2312"/>
          <w:sz w:val="32"/>
          <w:szCs w:val="32"/>
          <w:lang w:val="en-US" w:eastAsia="zh-CN"/>
        </w:rPr>
        <w:t>校计算机平面设计</w:t>
      </w:r>
      <w:r>
        <w:rPr>
          <w:rFonts w:hint="eastAsia" w:ascii="仿宋_GB2312" w:hAnsi="仿宋_GB2312" w:eastAsia="仿宋_GB2312" w:cs="仿宋_GB2312"/>
          <w:sz w:val="32"/>
          <w:szCs w:val="32"/>
        </w:rPr>
        <w:t>专业群教学资源库，每年应新增10%的网络课程教学资源相关内容动态，对资源库已建成的字体设计、包装设计、广告创意、Illustrator 等多门</w:t>
      </w:r>
      <w:r>
        <w:rPr>
          <w:rFonts w:hint="eastAsia" w:ascii="仿宋_GB2312" w:hAnsi="仿宋_GB2312" w:eastAsia="仿宋_GB2312" w:cs="仿宋_GB2312"/>
          <w:sz w:val="32"/>
          <w:szCs w:val="32"/>
          <w:lang w:val="en-US" w:eastAsia="zh-CN"/>
        </w:rPr>
        <w:t>课</w:t>
      </w:r>
      <w:r>
        <w:rPr>
          <w:rFonts w:hint="eastAsia" w:ascii="仿宋_GB2312" w:hAnsi="仿宋_GB2312" w:eastAsia="仿宋_GB2312" w:cs="仿宋_GB2312"/>
          <w:sz w:val="32"/>
          <w:szCs w:val="32"/>
        </w:rPr>
        <w:t>程互动资源。同时，建设、配备与平面设计方向有关的视频、动画素材、教学课件、数字化教学案例库、题库等专业教学资源库，种类丰富、形式多样、使用便捷、动态更新、满足教学。通过与企业合作，按照专业及专业方向和</w:t>
      </w:r>
      <w:r>
        <w:rPr>
          <w:rFonts w:hint="eastAsia" w:ascii="仿宋_GB2312" w:hAnsi="仿宋_GB2312" w:eastAsia="仿宋_GB2312" w:cs="仿宋_GB2312"/>
          <w:sz w:val="32"/>
          <w:szCs w:val="32"/>
          <w:lang w:val="en-US" w:eastAsia="zh-CN"/>
        </w:rPr>
        <w:t>中</w:t>
      </w:r>
      <w:r>
        <w:rPr>
          <w:rFonts w:hint="eastAsia" w:ascii="仿宋_GB2312" w:hAnsi="仿宋_GB2312" w:eastAsia="仿宋_GB2312" w:cs="仿宋_GB2312"/>
          <w:sz w:val="32"/>
          <w:szCs w:val="32"/>
        </w:rPr>
        <w:t>职学生的特点，开展基于工作过程的课程开发与实践，校企双方成员共同确定课程标准、设计教学项目、制定技能考核标准，共同开发电子教案、电子课件、教学视频、学生自主学习资源、实训项目及指导、理论及实践技能测试题库（自动评分）、案例库、课程网站等，形成交互式网络课程，通过专业优质核心课程的建设，带动专业课程的改革，逐步建设成一整套专业教学资源库，全面提高人才培养质量。充分利用现代化的网络技术和多媒体技术，优化整合教学资源，筹建专业群教学资源库和素材库建设，借助</w:t>
      </w:r>
      <w:r>
        <w:rPr>
          <w:rFonts w:hint="eastAsia" w:ascii="仿宋_GB2312" w:hAnsi="仿宋_GB2312" w:eastAsia="仿宋_GB2312" w:cs="仿宋_GB2312"/>
          <w:sz w:val="32"/>
          <w:szCs w:val="32"/>
          <w:lang w:val="en-US" w:eastAsia="zh-CN"/>
        </w:rPr>
        <w:t>计算机平面设计</w:t>
      </w:r>
      <w:r>
        <w:rPr>
          <w:rFonts w:hint="eastAsia" w:ascii="仿宋_GB2312" w:hAnsi="仿宋_GB2312" w:eastAsia="仿宋_GB2312" w:cs="仿宋_GB2312"/>
          <w:sz w:val="32"/>
          <w:szCs w:val="32"/>
        </w:rPr>
        <w:t>专业群教学资源库、和学习强国为学生提供自主学习平台，实现优质教学资源共享，并在持续更新中。</w:t>
      </w:r>
    </w:p>
    <w:p>
      <w:p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22" w:name="_Toc20577"/>
      <w:r>
        <w:rPr>
          <w:rFonts w:hint="eastAsia" w:ascii="楷体_GB2312" w:hAnsi="楷体_GB2312" w:eastAsia="楷体_GB2312" w:cs="楷体_GB2312"/>
          <w:sz w:val="32"/>
          <w:szCs w:val="32"/>
        </w:rPr>
        <w:t>（四）教学方法</w:t>
      </w:r>
      <w:bookmarkEnd w:id="22"/>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坚持立德树人根本任务，在教学过程中，注重思政课程和课程思政相结合，达到人才培养规格的素质要求。</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1.公共基础课</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共基础课教学要符合教育部有关教育教学基本要求，按照培养学生学科素养、服务专业学习和终身发展的功能来定位，采用理论讲授式、启发式、问题探究式等教学方法，通过集体讲解、师生对话、小组讨论、案例分析、议题讨论、演讲竞赛等教学组织形式的改革，教学手段、教学模式的创新，调动学生学习积极性，为学生综合素养的提高、职业能力的形成和可持续发展奠定基础。</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2.专业（技能）课</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坚持校企合作、工学结合的人才培养模式，选择典型项目为载体，按照相应职业岗位（群）的能力要求，结合行业标准、职业技能考核标准和技能大赛要求，通过实际岗位任务与典型案例，践行项目教学改革任务引领、问题导向的教学理念，采取理论实践一体化教学模式，突出“做中学、做中教”的职业教育教学特色，提倡项目教学、案例教学、任务教学、角色扮演、情境教学等方法，运用启发式、探究式、讨论式、参与式教学形式，将学生的自主学习、合作学习和教师引导教学有机结合，优化教学过程，提升学</w:t>
      </w:r>
      <w:bookmarkStart w:id="23" w:name="bookmark23"/>
      <w:bookmarkEnd w:id="23"/>
      <w:r>
        <w:rPr>
          <w:rFonts w:hint="eastAsia" w:ascii="仿宋_GB2312" w:hAnsi="仿宋_GB2312" w:eastAsia="仿宋_GB2312" w:cs="仿宋_GB2312"/>
          <w:sz w:val="32"/>
          <w:szCs w:val="32"/>
        </w:rPr>
        <w:t>习效率。</w:t>
      </w:r>
    </w:p>
    <w:p>
      <w:p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24" w:name="_Toc10948"/>
      <w:r>
        <w:rPr>
          <w:rFonts w:hint="eastAsia" w:ascii="楷体_GB2312" w:hAnsi="楷体_GB2312" w:eastAsia="楷体_GB2312" w:cs="楷体_GB2312"/>
          <w:sz w:val="32"/>
          <w:szCs w:val="32"/>
        </w:rPr>
        <w:t>（五）学习评价</w:t>
      </w:r>
      <w:bookmarkEnd w:id="24"/>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本专业培养目标和以人为本的发展理念，建立科学的评价标准。学习评价应体现评价主体、评价方式、评价过程的多元化，探索增值评价，注意吸收家长、行业企业参与。注重校内与校外评价相结合，职业技能鉴定与学业考核结合，教师评价、用人单位评价、学生互评与自我评价相结合。过程性评价与结果性评价结合，加大过程考核，突出专业实践技能考核成绩在课程总成绩中的比重。</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学校内学习评价采用学习过程评价、作业完成情况评价、实际操作评价和期末综合考核评价和岗位实习鉴定等多种方式。根据不同课程性质和教学要求，可以通过笔试、口试、实操、项目作业等方法，考核学生的知识、专业技能和工作规范等方面的学习水平；岗位实习评价则由实习企业和学校共同完成，从考勤、遵守工作纪律、工作态度、职业素养、专业知识和技能、创新意识、安全意识和实习成果等方面进行综合评价。学习评价不仅关注学生对知识的理解和技能的掌握，更要关注在实践运用知识与解决实际问题的能力水平，重视节能环保、绿色发展、规范操作、安全生产等职业素养的形成。</w:t>
      </w:r>
    </w:p>
    <w:p>
      <w:pPr>
        <w:numPr>
          <w:ilvl w:val="0"/>
          <w:numId w:val="0"/>
        </w:numPr>
        <w:autoSpaceDE w:val="0"/>
        <w:autoSpaceDN w:val="0"/>
        <w:adjustRightInd w:val="0"/>
        <w:spacing w:line="560" w:lineRule="exact"/>
        <w:ind w:firstLine="640" w:firstLineChars="200"/>
        <w:outlineLvl w:val="1"/>
        <w:rPr>
          <w:rFonts w:hint="eastAsia" w:ascii="楷体_GB2312" w:hAnsi="楷体_GB2312" w:eastAsia="楷体_GB2312" w:cs="楷体_GB2312"/>
          <w:sz w:val="32"/>
          <w:szCs w:val="32"/>
        </w:rPr>
      </w:pPr>
      <w:bookmarkStart w:id="25" w:name="_Toc1863"/>
      <w:r>
        <w:rPr>
          <w:rFonts w:hint="eastAsia" w:ascii="楷体_GB2312" w:hAnsi="楷体_GB2312" w:eastAsia="楷体_GB2312" w:cs="楷体_GB2312"/>
          <w:kern w:val="2"/>
          <w:sz w:val="32"/>
          <w:szCs w:val="32"/>
          <w:lang w:val="en-US" w:eastAsia="zh-CN" w:bidi="ar-SA"/>
        </w:rPr>
        <w:t>（六）</w:t>
      </w:r>
      <w:r>
        <w:rPr>
          <w:rFonts w:hint="eastAsia" w:ascii="楷体_GB2312" w:hAnsi="楷体_GB2312" w:eastAsia="楷体_GB2312" w:cs="楷体_GB2312"/>
          <w:sz w:val="32"/>
          <w:szCs w:val="32"/>
        </w:rPr>
        <w:t>质量管理</w:t>
      </w:r>
      <w:bookmarkEnd w:id="25"/>
    </w:p>
    <w:p>
      <w:pPr>
        <w:autoSpaceDE w:val="0"/>
        <w:adjustRightInd w:val="0"/>
        <w:snapToGrid w:val="0"/>
        <w:spacing w:line="560" w:lineRule="exact"/>
        <w:ind w:firstLine="640" w:firstLineChars="200"/>
        <w:jc w:val="left"/>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1.</w:t>
      </w:r>
      <w:r>
        <w:rPr>
          <w:rFonts w:hint="eastAsia" w:ascii="仿宋_GB2312" w:hAnsi="仿宋_GB2312" w:eastAsia="仿宋_GB2312" w:cs="仿宋_GB2312"/>
          <w:sz w:val="32"/>
          <w:szCs w:val="32"/>
          <w:lang w:bidi="ar"/>
        </w:rPr>
        <w:t>完善教学质量管理及评价机制</w:t>
      </w:r>
    </w:p>
    <w:p>
      <w:pPr>
        <w:autoSpaceDE w:val="0"/>
        <w:adjustRightInd w:val="0"/>
        <w:snapToGrid w:val="0"/>
        <w:spacing w:line="560" w:lineRule="exact"/>
        <w:ind w:firstLine="640" w:firstLineChars="200"/>
        <w:jc w:val="left"/>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建立教学质量“学校—教学部”两级内部监控和评价机制，完善教学管理规章制度体系，通过推门听课、教学巡查、教考分离、教学文件抽检、开展集体备课和教研活动等方式对日常教学过程进行监控和管理，保证毕业生培养质量达到国家规定的标准。建立与行业企业联动的实践教学环节督导制度，健全专业教学质量监控和评价机制，加强课堂教学、实习实训等方面质量标准建设。按照学校教育教学督导要求，落实《威海市职业中等专业学校教师教学工作规范》《关于建立教学常规巡查工作制度的通知》等文件要求，对教师教学质量进行综合评价。</w:t>
      </w:r>
    </w:p>
    <w:p>
      <w:pPr>
        <w:autoSpaceDE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2.</w:t>
      </w:r>
      <w:r>
        <w:rPr>
          <w:rFonts w:hint="eastAsia" w:ascii="仿宋_GB2312" w:hAnsi="仿宋_GB2312" w:eastAsia="仿宋_GB2312" w:cs="仿宋_GB2312"/>
          <w:sz w:val="32"/>
          <w:szCs w:val="32"/>
          <w:lang w:bidi="ar"/>
        </w:rPr>
        <w:t>建立和完善人才培养质量社会评价及反馈机制</w:t>
      </w:r>
    </w:p>
    <w:p>
      <w:pPr>
        <w:autoSpaceDE w:val="0"/>
        <w:adjustRightInd w:val="0"/>
        <w:snapToGrid w:val="0"/>
        <w:spacing w:line="560" w:lineRule="exact"/>
        <w:ind w:firstLine="640" w:firstLineChars="200"/>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落实学校《学生学业质量评价方案》，完善学业水平测试、综合素质评价和毕业生质量跟踪反馈机制及社会评价机制，对生源情况、在校生学业水平、毕业生就业情况等进行分析，定期评价人才培养质量和培养目标达成情况。</w:t>
      </w:r>
      <w:r>
        <w:rPr>
          <w:rFonts w:hint="eastAsia" w:ascii="仿宋_GB2312" w:hAnsi="仿宋_GB2312" w:eastAsia="仿宋_GB2312" w:cs="仿宋_GB2312"/>
          <w:sz w:val="32"/>
          <w:szCs w:val="32"/>
        </w:rPr>
        <w:t>专业教研组织应充分利用评价分析结果有效改进专业教学，持续提高人才培养质量。</w:t>
      </w:r>
    </w:p>
    <w:p>
      <w:pPr>
        <w:autoSpaceDE w:val="0"/>
        <w:adjustRightInd w:val="0"/>
        <w:snapToGrid w:val="0"/>
        <w:spacing w:line="560" w:lineRule="exact"/>
        <w:ind w:firstLine="640" w:firstLineChars="200"/>
        <w:textAlignment w:val="baseline"/>
        <w:rPr>
          <w:rFonts w:hint="eastAsia" w:ascii="仿宋_GB2312" w:hAnsi="仿宋_GB2312" w:eastAsia="仿宋_GB2312" w:cs="仿宋_GB2312"/>
          <w:sz w:val="32"/>
          <w:szCs w:val="32"/>
          <w:lang w:bidi="ar"/>
        </w:rPr>
      </w:pPr>
      <w:r>
        <w:rPr>
          <w:rFonts w:hint="eastAsia" w:ascii="仿宋_GB2312" w:hAnsi="仿宋_GB2312" w:eastAsia="仿宋_GB2312" w:cs="仿宋_GB2312"/>
          <w:sz w:val="32"/>
          <w:szCs w:val="32"/>
          <w:lang w:val="en-US" w:eastAsia="zh-CN" w:bidi="ar"/>
        </w:rPr>
        <w:t>3.</w:t>
      </w:r>
      <w:r>
        <w:rPr>
          <w:rFonts w:hint="eastAsia" w:ascii="仿宋_GB2312" w:hAnsi="仿宋_GB2312" w:eastAsia="仿宋_GB2312" w:cs="仿宋_GB2312"/>
          <w:sz w:val="32"/>
          <w:szCs w:val="32"/>
          <w:lang w:bidi="ar"/>
        </w:rPr>
        <w:t>建立专业建设诊断与改进机制</w:t>
      </w:r>
    </w:p>
    <w:p>
      <w:pPr>
        <w:autoSpaceDE w:val="0"/>
        <w:adjustRightInd w:val="0"/>
        <w:snapToGrid w:val="0"/>
        <w:spacing w:line="560" w:lineRule="exact"/>
        <w:ind w:firstLine="640" w:firstLineChars="200"/>
        <w:textAlignment w:val="baseline"/>
        <w:rPr>
          <w:rFonts w:ascii="仿宋_GB2312" w:hAnsi="仿宋_GB2312" w:eastAsia="仿宋_GB2312" w:cs="仿宋_GB2312"/>
          <w:sz w:val="32"/>
          <w:szCs w:val="32"/>
          <w:lang w:bidi="ar"/>
        </w:rPr>
      </w:pPr>
      <w:r>
        <w:rPr>
          <w:rFonts w:hint="eastAsia" w:ascii="仿宋_GB2312" w:hAnsi="仿宋_GB2312" w:eastAsia="仿宋_GB2312" w:cs="仿宋_GB2312"/>
          <w:sz w:val="32"/>
          <w:szCs w:val="32"/>
          <w:lang w:bidi="ar"/>
        </w:rPr>
        <w:t>定期组织专业建设委员会开展专业建设研讨，及时开展专业调研、人才培养方案更新和教学资源建设研究工作。专业教研组建立集中备课制度，每周召开一次研讨会议，对专业教学、实训室建设、社会服务、课程建设等进行研判，持续提高专业建设水平和人才培养质量。</w:t>
      </w:r>
    </w:p>
    <w:p>
      <w:pPr>
        <w:autoSpaceDE w:val="0"/>
        <w:autoSpaceDN w:val="0"/>
        <w:adjustRightInd w:val="0"/>
        <w:spacing w:line="560" w:lineRule="exact"/>
        <w:ind w:firstLine="640" w:firstLineChars="200"/>
        <w:outlineLvl w:val="0"/>
        <w:rPr>
          <w:rFonts w:ascii="黑体" w:hAnsi="黑体" w:eastAsia="黑体" w:cs="黑体"/>
          <w:sz w:val="32"/>
          <w:szCs w:val="32"/>
        </w:rPr>
      </w:pPr>
      <w:bookmarkStart w:id="26" w:name="_Toc10215"/>
      <w:r>
        <w:rPr>
          <w:rFonts w:hint="eastAsia" w:ascii="黑体" w:hAnsi="黑体" w:eastAsia="黑体" w:cs="黑体"/>
          <w:sz w:val="32"/>
          <w:szCs w:val="32"/>
        </w:rPr>
        <w:t>十</w:t>
      </w:r>
      <w:r>
        <w:rPr>
          <w:rFonts w:hint="eastAsia" w:ascii="黑体" w:hAnsi="黑体" w:eastAsia="黑体" w:cs="黑体"/>
          <w:sz w:val="32"/>
          <w:szCs w:val="32"/>
          <w:lang w:val="en-US" w:eastAsia="zh-CN"/>
        </w:rPr>
        <w:t>一</w:t>
      </w:r>
      <w:r>
        <w:rPr>
          <w:rFonts w:hint="eastAsia" w:ascii="黑体" w:hAnsi="黑体" w:eastAsia="黑体" w:cs="黑体"/>
          <w:sz w:val="32"/>
          <w:szCs w:val="32"/>
        </w:rPr>
        <w:t>、毕业要求</w:t>
      </w:r>
      <w:bookmarkEnd w:id="26"/>
    </w:p>
    <w:p>
      <w:pPr>
        <w:widowControl/>
        <w:shd w:val="clear" w:color="auto" w:fill="FFFFFF"/>
        <w:spacing w:line="560" w:lineRule="exact"/>
        <w:ind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27" w:name="_Toc30712"/>
      <w:r>
        <w:rPr>
          <w:rFonts w:hint="eastAsia" w:ascii="楷体_GB2312" w:hAnsi="楷体_GB2312" w:eastAsia="楷体_GB2312" w:cs="楷体_GB2312"/>
          <w:kern w:val="0"/>
          <w:sz w:val="32"/>
          <w:szCs w:val="32"/>
          <w:shd w:val="clear" w:color="auto" w:fill="FFFFFF"/>
          <w:lang w:bidi="ar"/>
        </w:rPr>
        <w:t>（一）思想品德</w:t>
      </w:r>
      <w:bookmarkEnd w:id="27"/>
    </w:p>
    <w:p>
      <w:pPr>
        <w:widowControl/>
        <w:shd w:val="clear" w:color="auto" w:fill="FFFFFF"/>
        <w:spacing w:line="560" w:lineRule="exact"/>
        <w:ind w:firstLine="640" w:firstLineChars="200"/>
        <w:jc w:val="left"/>
        <w:rPr>
          <w:rFonts w:hint="eastAsia"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在校学习期间（含校外岗位实习期间）无违法或严重违纪行为，思想品德评定合格。</w:t>
      </w:r>
    </w:p>
    <w:p>
      <w:pPr>
        <w:widowControl/>
        <w:shd w:val="clear" w:color="auto" w:fill="FFFFFF"/>
        <w:spacing w:line="560" w:lineRule="exact"/>
        <w:ind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28" w:name="_Toc13475"/>
      <w:r>
        <w:rPr>
          <w:rFonts w:hint="eastAsia" w:ascii="楷体_GB2312" w:hAnsi="楷体_GB2312" w:eastAsia="楷体_GB2312" w:cs="楷体_GB2312"/>
          <w:kern w:val="0"/>
          <w:sz w:val="32"/>
          <w:szCs w:val="32"/>
          <w:shd w:val="clear" w:color="auto" w:fill="FFFFFF"/>
          <w:lang w:bidi="ar"/>
        </w:rPr>
        <w:t>（二）学业成绩</w:t>
      </w:r>
      <w:bookmarkEnd w:id="28"/>
    </w:p>
    <w:p>
      <w:pPr>
        <w:widowControl/>
        <w:shd w:val="clear" w:color="auto" w:fill="FFFFFF"/>
        <w:spacing w:line="560" w:lineRule="exact"/>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在校期间，修完专业人才培养方案规定的所有课程，经考试或考查合格。</w:t>
      </w:r>
    </w:p>
    <w:p>
      <w:pPr>
        <w:widowControl/>
        <w:shd w:val="clear" w:color="auto" w:fill="FFFFFF"/>
        <w:spacing w:line="560" w:lineRule="exact"/>
        <w:ind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29" w:name="_Toc28666"/>
      <w:r>
        <w:rPr>
          <w:rFonts w:hint="eastAsia" w:ascii="楷体_GB2312" w:hAnsi="楷体_GB2312" w:eastAsia="楷体_GB2312" w:cs="楷体_GB2312"/>
          <w:kern w:val="0"/>
          <w:sz w:val="32"/>
          <w:szCs w:val="32"/>
          <w:shd w:val="clear" w:color="auto" w:fill="FFFFFF"/>
          <w:lang w:bidi="ar"/>
        </w:rPr>
        <w:t>（三）实习合格</w:t>
      </w:r>
      <w:bookmarkEnd w:id="29"/>
    </w:p>
    <w:p>
      <w:pPr>
        <w:widowControl/>
        <w:shd w:val="clear" w:color="auto" w:fill="FFFFFF"/>
        <w:spacing w:line="560" w:lineRule="exact"/>
        <w:ind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岗位实习期满，经学校、企业共同鉴定，实习成绩合格。</w:t>
      </w:r>
    </w:p>
    <w:p>
      <w:pPr>
        <w:widowControl/>
        <w:shd w:val="clear" w:color="auto" w:fill="FFFFFF"/>
        <w:spacing w:line="560" w:lineRule="exact"/>
        <w:ind w:firstLine="640" w:firstLineChars="200"/>
        <w:jc w:val="left"/>
        <w:outlineLvl w:val="1"/>
        <w:rPr>
          <w:rFonts w:hint="eastAsia" w:ascii="楷体_GB2312" w:hAnsi="楷体_GB2312" w:eastAsia="楷体_GB2312" w:cs="楷体_GB2312"/>
          <w:kern w:val="0"/>
          <w:sz w:val="32"/>
          <w:szCs w:val="32"/>
          <w:shd w:val="clear" w:color="auto" w:fill="FFFFFF"/>
          <w:lang w:bidi="ar"/>
        </w:rPr>
      </w:pPr>
      <w:bookmarkStart w:id="30" w:name="_Toc16924"/>
      <w:r>
        <w:rPr>
          <w:rFonts w:hint="eastAsia" w:ascii="楷体_GB2312" w:hAnsi="楷体_GB2312" w:eastAsia="楷体_GB2312" w:cs="楷体_GB2312"/>
          <w:kern w:val="0"/>
          <w:sz w:val="32"/>
          <w:szCs w:val="32"/>
          <w:shd w:val="clear" w:color="auto" w:fill="FFFFFF"/>
          <w:lang w:bidi="ar"/>
        </w:rPr>
        <w:t>（四）证书考核</w:t>
      </w:r>
      <w:bookmarkEnd w:id="30"/>
    </w:p>
    <w:p>
      <w:pPr>
        <w:widowControl/>
        <w:shd w:val="clear" w:color="auto" w:fill="FFFFFF"/>
        <w:spacing w:line="560" w:lineRule="exact"/>
        <w:ind w:firstLine="640" w:firstLineChars="200"/>
        <w:jc w:val="left"/>
        <w:rPr>
          <w:rFonts w:ascii="仿宋_GB2312" w:hAnsi="仿宋_GB2312" w:eastAsia="仿宋_GB2312" w:cs="仿宋_GB2312"/>
          <w:kern w:val="0"/>
          <w:sz w:val="32"/>
          <w:szCs w:val="32"/>
          <w:shd w:val="clear" w:color="auto" w:fill="FFFFFF"/>
          <w:lang w:bidi="ar"/>
        </w:rPr>
      </w:pPr>
      <w:r>
        <w:rPr>
          <w:rFonts w:hint="eastAsia" w:ascii="仿宋_GB2312" w:hAnsi="仿宋_GB2312" w:eastAsia="仿宋_GB2312" w:cs="仿宋_GB2312"/>
          <w:kern w:val="0"/>
          <w:sz w:val="32"/>
          <w:szCs w:val="32"/>
          <w:shd w:val="clear" w:color="auto" w:fill="FFFFFF"/>
          <w:lang w:bidi="ar"/>
        </w:rPr>
        <w:t>参与职业技能等级证书，学生毕业至少要取得</w:t>
      </w:r>
      <w:r>
        <w:rPr>
          <w:rFonts w:hint="eastAsia" w:ascii="仿宋_GB2312" w:hAnsi="仿宋_GB2312" w:eastAsia="仿宋_GB2312" w:cs="仿宋_GB2312"/>
          <w:kern w:val="0"/>
          <w:sz w:val="32"/>
          <w:szCs w:val="32"/>
          <w:shd w:val="clear" w:color="auto" w:fill="FFFFFF"/>
          <w:lang w:val="en-US" w:eastAsia="zh-CN" w:bidi="ar"/>
        </w:rPr>
        <w:t>广告设计师</w:t>
      </w:r>
      <w:r>
        <w:rPr>
          <w:rFonts w:hint="eastAsia" w:ascii="仿宋_GB2312" w:hAnsi="仿宋_GB2312" w:eastAsia="仿宋_GB2312" w:cs="仿宋_GB2312"/>
          <w:kern w:val="0"/>
          <w:sz w:val="32"/>
          <w:szCs w:val="32"/>
          <w:shd w:val="clear" w:color="auto" w:fill="FFFFFF"/>
          <w:lang w:bidi="ar"/>
        </w:rPr>
        <w:t>（初级）职业技能等级证书。</w:t>
      </w:r>
    </w:p>
    <w:p>
      <w:pPr>
        <w:autoSpaceDE w:val="0"/>
        <w:autoSpaceDN w:val="0"/>
        <w:adjustRightInd w:val="0"/>
        <w:spacing w:line="560" w:lineRule="exact"/>
        <w:ind w:firstLine="640" w:firstLineChars="200"/>
        <w:outlineLvl w:val="0"/>
        <w:rPr>
          <w:rFonts w:ascii="黑体" w:hAnsi="黑体" w:eastAsia="黑体" w:cs="黑体"/>
          <w:sz w:val="32"/>
          <w:szCs w:val="32"/>
        </w:rPr>
      </w:pPr>
      <w:bookmarkStart w:id="31" w:name="_Toc30387"/>
      <w:r>
        <w:rPr>
          <w:rFonts w:hint="eastAsia" w:ascii="黑体" w:hAnsi="黑体" w:eastAsia="黑体" w:cs="黑体"/>
          <w:sz w:val="32"/>
          <w:szCs w:val="32"/>
        </w:rPr>
        <w:t>十</w:t>
      </w:r>
      <w:r>
        <w:rPr>
          <w:rFonts w:hint="eastAsia" w:ascii="黑体" w:hAnsi="黑体" w:eastAsia="黑体" w:cs="黑体"/>
          <w:sz w:val="32"/>
          <w:szCs w:val="32"/>
          <w:lang w:val="en-US" w:eastAsia="zh-CN"/>
        </w:rPr>
        <w:t>二</w:t>
      </w:r>
      <w:r>
        <w:rPr>
          <w:rFonts w:hint="eastAsia" w:ascii="黑体" w:hAnsi="黑体" w:eastAsia="黑体" w:cs="黑体"/>
          <w:sz w:val="32"/>
          <w:szCs w:val="32"/>
        </w:rPr>
        <w:t>、附录</w:t>
      </w:r>
      <w:bookmarkEnd w:id="31"/>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黑体" w:hAnsi="黑体" w:eastAsia="黑体" w:cs="黑体"/>
          <w:sz w:val="32"/>
          <w:szCs w:val="32"/>
        </w:rPr>
        <w:t xml:space="preserve">  </w:t>
      </w:r>
      <w:r>
        <w:rPr>
          <w:rFonts w:hint="eastAsia" w:ascii="仿宋_GB2312" w:hAnsi="仿宋_GB2312" w:eastAsia="仿宋_GB2312" w:cs="仿宋_GB2312"/>
          <w:sz w:val="32"/>
          <w:szCs w:val="32"/>
        </w:rPr>
        <w:t>1.调研报告</w:t>
      </w:r>
    </w:p>
    <w:p>
      <w:pPr>
        <w:autoSpaceDE w:val="0"/>
        <w:autoSpaceDN w:val="0"/>
        <w:adjustRightIn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2.教学进程变更申请表</w:t>
      </w:r>
    </w:p>
    <w:p>
      <w:pPr>
        <w:autoSpaceDE w:val="0"/>
        <w:autoSpaceDN w:val="0"/>
        <w:adjustRightInd w:val="0"/>
        <w:spacing w:line="560" w:lineRule="exact"/>
        <w:ind w:firstLine="640" w:firstLineChars="200"/>
        <w:rPr>
          <w:rFonts w:ascii="黑体" w:hAnsi="黑体" w:eastAsia="黑体" w:cs="黑体"/>
          <w:sz w:val="32"/>
          <w:szCs w:val="32"/>
        </w:rPr>
      </w:pPr>
    </w:p>
    <w:p>
      <w:pPr>
        <w:autoSpaceDE w:val="0"/>
        <w:autoSpaceDN w:val="0"/>
        <w:adjustRightInd w:val="0"/>
        <w:spacing w:line="560" w:lineRule="exact"/>
        <w:ind w:firstLine="640" w:firstLineChars="200"/>
        <w:rPr>
          <w:rFonts w:ascii="黑体" w:hAnsi="黑体" w:eastAsia="黑体" w:cs="黑体"/>
          <w:sz w:val="32"/>
          <w:szCs w:val="32"/>
        </w:rPr>
      </w:pPr>
    </w:p>
    <w:p>
      <w:pPr>
        <w:autoSpaceDE w:val="0"/>
        <w:autoSpaceDN w:val="0"/>
        <w:adjustRightInd w:val="0"/>
        <w:spacing w:line="520" w:lineRule="exact"/>
        <w:outlineLvl w:val="1"/>
        <w:rPr>
          <w:rFonts w:ascii="黑体" w:hAnsi="黑体" w:eastAsia="黑体" w:cs="黑体"/>
          <w:sz w:val="32"/>
          <w:szCs w:val="32"/>
        </w:rPr>
      </w:pPr>
      <w:bookmarkStart w:id="32" w:name="_Toc29102"/>
      <w:r>
        <w:rPr>
          <w:rFonts w:hint="eastAsia" w:ascii="宋体" w:hAnsi="宋体" w:cs="宋体"/>
          <w:sz w:val="24"/>
        </w:rPr>
        <w:t>附件1：</w:t>
      </w:r>
      <w:bookmarkEnd w:id="32"/>
    </w:p>
    <w:p>
      <w:pPr>
        <w:adjustRightInd w:val="0"/>
        <w:snapToGrid w:val="0"/>
        <w:spacing w:line="560" w:lineRule="exact"/>
        <w:ind w:firstLine="720" w:firstLineChars="200"/>
        <w:jc w:val="center"/>
        <w:outlineLvl w:val="9"/>
        <w:rPr>
          <w:rFonts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威海市</w:t>
      </w:r>
      <w:r>
        <w:rPr>
          <w:rFonts w:hint="eastAsia" w:ascii="方正小标宋简体" w:hAnsi="方正小标宋简体" w:eastAsia="方正小标宋简体" w:cs="方正小标宋简体"/>
          <w:color w:val="000000"/>
          <w:sz w:val="36"/>
          <w:szCs w:val="36"/>
          <w:lang w:val="en-US" w:eastAsia="zh-CN"/>
        </w:rPr>
        <w:t>智慧谷</w:t>
      </w:r>
      <w:r>
        <w:rPr>
          <w:rFonts w:hint="eastAsia" w:ascii="方正小标宋简体" w:hAnsi="方正小标宋简体" w:eastAsia="方正小标宋简体" w:cs="方正小标宋简体"/>
          <w:color w:val="000000"/>
          <w:sz w:val="36"/>
          <w:szCs w:val="36"/>
        </w:rPr>
        <w:t>职业中等专业学校</w:t>
      </w:r>
    </w:p>
    <w:p>
      <w:pPr>
        <w:adjustRightInd w:val="0"/>
        <w:snapToGrid w:val="0"/>
        <w:spacing w:after="312" w:afterLines="100" w:line="560" w:lineRule="exact"/>
        <w:ind w:firstLine="720" w:firstLineChars="200"/>
        <w:jc w:val="center"/>
        <w:outlineLvl w:val="9"/>
        <w:rPr>
          <w:rFonts w:ascii="仿宋_GB2312" w:hAnsi="仿宋_GB2312" w:eastAsia="仿宋_GB2312" w:cs="仿宋_GB2312"/>
          <w:b/>
          <w:bCs/>
          <w:color w:val="000000"/>
          <w:kern w:val="0"/>
          <w:sz w:val="28"/>
          <w:szCs w:val="28"/>
        </w:rPr>
      </w:pPr>
      <w:r>
        <w:rPr>
          <w:rFonts w:hint="eastAsia" w:ascii="方正小标宋简体" w:hAnsi="方正小标宋简体" w:eastAsia="方正小标宋简体" w:cs="方正小标宋简体"/>
          <w:color w:val="000000"/>
          <w:sz w:val="36"/>
          <w:szCs w:val="36"/>
        </w:rPr>
        <w:t>计算机平面设计专业人才培养模式和课程体系改革调研报告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为进一步优化专业人才培养方案，创新人才培养模式，落实《教育部关于职业院校专业人才培养方案制订与实施工作的指导意见》，推进我校高水平中职学校建设。2023年10月信息工程部启动计算机平面设计专业调研活动，以期了解计算机平面设计行业人才需求现状，剖析从业人员岗位职责和工作内容，提炼一线生产中的典型工作任务，梳理计算机平面设计行业从业人员所应具备的知识、技能和职业素养，提高计算机平面设计专业人才培养质量，为计算机平面设计专业人才培养方案的编制提供基础资料和依据。</w:t>
      </w:r>
    </w:p>
    <w:p>
      <w:pPr>
        <w:spacing w:line="560" w:lineRule="exact"/>
        <w:ind w:firstLine="640" w:firstLineChars="200"/>
        <w:outlineLvl w:val="9"/>
        <w:rPr>
          <w:rFonts w:ascii="黑体" w:hAnsi="黑体" w:eastAsia="黑体" w:cs="黑体"/>
          <w:kern w:val="0"/>
          <w:sz w:val="32"/>
          <w:szCs w:val="32"/>
        </w:rPr>
      </w:pPr>
      <w:r>
        <w:rPr>
          <w:rFonts w:hint="eastAsia" w:ascii="黑体" w:hAnsi="黑体" w:eastAsia="黑体" w:cs="黑体"/>
          <w:kern w:val="0"/>
          <w:sz w:val="32"/>
          <w:szCs w:val="32"/>
        </w:rPr>
        <w:t>一、调研过程</w:t>
      </w:r>
    </w:p>
    <w:p>
      <w:pPr>
        <w:spacing w:line="560" w:lineRule="exact"/>
        <w:ind w:firstLine="640" w:firstLineChars="200"/>
        <w:outlineLvl w:val="9"/>
        <w:rPr>
          <w:rFonts w:ascii="楷体" w:hAnsi="楷体" w:eastAsia="楷体" w:cs="楷体"/>
          <w:kern w:val="0"/>
          <w:sz w:val="32"/>
          <w:szCs w:val="32"/>
        </w:rPr>
      </w:pPr>
      <w:r>
        <w:rPr>
          <w:rFonts w:hint="eastAsia" w:ascii="楷体" w:hAnsi="楷体" w:eastAsia="楷体" w:cs="楷体"/>
          <w:kern w:val="0"/>
          <w:sz w:val="32"/>
          <w:szCs w:val="32"/>
        </w:rPr>
        <w:t>（一）调研目的</w:t>
      </w:r>
    </w:p>
    <w:p>
      <w:pPr>
        <w:spacing w:line="560" w:lineRule="exact"/>
        <w:ind w:firstLine="640" w:firstLineChars="200"/>
        <w:rPr>
          <w:rFonts w:ascii="楷体" w:hAnsi="楷体" w:eastAsia="楷体" w:cs="楷体"/>
          <w:kern w:val="0"/>
          <w:sz w:val="32"/>
          <w:szCs w:val="32"/>
        </w:rPr>
      </w:pPr>
      <w:r>
        <w:rPr>
          <w:rFonts w:hint="eastAsia" w:ascii="仿宋_GB2312" w:hAnsi="仿宋_GB2312" w:eastAsia="仿宋_GB2312" w:cs="仿宋_GB2312"/>
          <w:sz w:val="32"/>
          <w:szCs w:val="32"/>
        </w:rPr>
        <w:t>通过调研，了解企业对计算机平面设计专业毕业生的岗位需求和能力要求，了解其他中职、高职学校的专业课程设置、教学改革等情况，了解高职院校相关专业对学生的品德、学业和技能等方面的要求，了解已毕业中职计算机平面设计人才的岗位情况及工作情况，了解企业对中职计算机平面设计人才的能力要求及培养建议，明确计算机平面设计专业毕业生的就业领域、职业岗位（群）、职业技能要求、人才培养的知识、素质和能力要求，构建与之相适应的课程体系，并对教学进程安排、课程标准制定、课程内容优化、教材开发选用等给出合理化建议，形成调研报告，进而制订出符合经济社会需求的专业人才培养方案。</w:t>
      </w:r>
    </w:p>
    <w:p>
      <w:pPr>
        <w:snapToGrid w:val="0"/>
        <w:spacing w:line="560" w:lineRule="exact"/>
        <w:ind w:firstLine="640" w:firstLineChars="200"/>
        <w:outlineLvl w:val="9"/>
        <w:rPr>
          <w:rFonts w:ascii="楷体" w:hAnsi="楷体" w:eastAsia="楷体" w:cs="楷体"/>
          <w:kern w:val="0"/>
          <w:sz w:val="32"/>
          <w:szCs w:val="32"/>
        </w:rPr>
      </w:pPr>
      <w:r>
        <w:rPr>
          <w:rFonts w:hint="eastAsia" w:ascii="楷体" w:hAnsi="楷体" w:eastAsia="楷体" w:cs="楷体"/>
          <w:kern w:val="0"/>
          <w:sz w:val="32"/>
          <w:szCs w:val="32"/>
        </w:rPr>
        <w:t>（二）调研对象</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1.行业企业</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主要包括：</w:t>
      </w:r>
      <w:r>
        <w:rPr>
          <w:rFonts w:hint="eastAsia" w:ascii="仿宋_GB2312" w:hAnsi="仿宋_GB2312" w:eastAsia="仿宋_GB2312" w:cs="仿宋_GB2312"/>
          <w:sz w:val="32"/>
          <w:szCs w:val="32"/>
        </w:rPr>
        <w:t>威海</w:t>
      </w:r>
      <w:r>
        <w:rPr>
          <w:rFonts w:hint="eastAsia" w:ascii="仿宋_GB2312" w:hAnsi="仿宋_GB2312" w:eastAsia="仿宋_GB2312" w:cs="仿宋_GB2312"/>
          <w:sz w:val="32"/>
          <w:szCs w:val="32"/>
          <w:lang w:val="en-US" w:eastAsia="zh-CN"/>
        </w:rPr>
        <w:t>巴黎春天</w:t>
      </w:r>
      <w:r>
        <w:rPr>
          <w:rFonts w:hint="eastAsia" w:ascii="仿宋_GB2312" w:hAnsi="仿宋_GB2312" w:eastAsia="仿宋_GB2312" w:cs="仿宋_GB2312"/>
          <w:sz w:val="32"/>
          <w:szCs w:val="32"/>
        </w:rPr>
        <w:t>婚纱摄影有限公司</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威海</w:t>
      </w:r>
      <w:r>
        <w:rPr>
          <w:rFonts w:hint="eastAsia" w:ascii="仿宋_GB2312" w:hAnsi="仿宋_GB2312" w:eastAsia="仿宋_GB2312" w:cs="仿宋_GB2312"/>
          <w:sz w:val="32"/>
          <w:szCs w:val="32"/>
          <w:lang w:val="en-US" w:eastAsia="zh-CN"/>
        </w:rPr>
        <w:t>汉鼎渔具</w:t>
      </w:r>
      <w:r>
        <w:rPr>
          <w:rFonts w:hint="eastAsia" w:ascii="仿宋_GB2312" w:hAnsi="仿宋_GB2312" w:eastAsia="仿宋_GB2312" w:cs="仿宋_GB2312"/>
          <w:sz w:val="32"/>
          <w:szCs w:val="32"/>
        </w:rPr>
        <w:t>有限公司</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lang w:val="en-US" w:eastAsia="zh-CN"/>
        </w:rPr>
        <w:t>红太阳彩印</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卓越策划</w:t>
      </w:r>
      <w:r>
        <w:rPr>
          <w:rFonts w:hint="eastAsia" w:ascii="仿宋_GB2312" w:hAnsi="仿宋_GB2312" w:eastAsia="仿宋_GB2312" w:cs="仿宋_GB2312"/>
          <w:sz w:val="32"/>
          <w:szCs w:val="32"/>
        </w:rPr>
        <w:t>。</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2.职业院校</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高职院校主要有：</w:t>
      </w:r>
      <w:r>
        <w:rPr>
          <w:rFonts w:hint="eastAsia" w:ascii="仿宋_GB2312" w:hAnsi="仿宋_GB2312" w:eastAsia="仿宋_GB2312" w:cs="仿宋_GB2312"/>
          <w:sz w:val="32"/>
          <w:szCs w:val="32"/>
          <w:lang w:val="en-US" w:eastAsia="zh-CN"/>
        </w:rPr>
        <w:t>威海</w:t>
      </w:r>
      <w:r>
        <w:rPr>
          <w:rFonts w:hint="eastAsia" w:ascii="仿宋_GB2312" w:hAnsi="仿宋_GB2312" w:eastAsia="仿宋_GB2312" w:cs="仿宋_GB2312"/>
          <w:sz w:val="32"/>
          <w:szCs w:val="32"/>
        </w:rPr>
        <w:t>职业学院</w:t>
      </w:r>
    </w:p>
    <w:p>
      <w:pPr>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rPr>
        <w:t>中职学校主要有：</w:t>
      </w:r>
      <w:r>
        <w:rPr>
          <w:rFonts w:hint="eastAsia" w:ascii="仿宋_GB2312" w:hAnsi="仿宋_GB2312" w:eastAsia="仿宋_GB2312" w:cs="仿宋_GB2312"/>
          <w:sz w:val="32"/>
          <w:szCs w:val="32"/>
        </w:rPr>
        <w:t>文登区职业中等专业学校、威海艺术学校、文登师范学校。</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3.毕业生</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主要有2020级计算机平面设计1、2班。</w:t>
      </w:r>
    </w:p>
    <w:p>
      <w:pPr>
        <w:spacing w:line="560" w:lineRule="exact"/>
        <w:ind w:firstLine="640" w:firstLineChars="200"/>
        <w:outlineLvl w:val="9"/>
        <w:rPr>
          <w:rFonts w:ascii="楷体" w:hAnsi="楷体" w:eastAsia="楷体" w:cs="楷体"/>
          <w:kern w:val="0"/>
          <w:sz w:val="32"/>
          <w:szCs w:val="32"/>
        </w:rPr>
      </w:pPr>
      <w:r>
        <w:rPr>
          <w:rFonts w:hint="eastAsia" w:ascii="楷体" w:hAnsi="楷体" w:eastAsia="楷体" w:cs="楷体"/>
          <w:kern w:val="0"/>
          <w:sz w:val="32"/>
          <w:szCs w:val="32"/>
        </w:rPr>
        <w:t>（三）调研方法与内容</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1.调研方法</w:t>
      </w:r>
    </w:p>
    <w:p>
      <w:pPr>
        <w:snapToGrid w:val="0"/>
        <w:spacing w:line="560" w:lineRule="exact"/>
        <w:ind w:firstLine="640" w:firstLineChars="200"/>
        <w:rPr>
          <w:rFonts w:ascii="仿宋_GB2312" w:hAnsi="仿宋_GB2312" w:eastAsia="仿宋_GB2312" w:cs="仿宋_GB2312"/>
          <w:sz w:val="32"/>
          <w:szCs w:val="32"/>
          <w:shd w:val="clear" w:color="auto" w:fill="FDFEFF"/>
        </w:rPr>
      </w:pPr>
      <w:r>
        <w:rPr>
          <w:rFonts w:hint="eastAsia" w:ascii="仿宋_GB2312" w:hAnsi="仿宋_GB2312" w:eastAsia="仿宋_GB2312" w:cs="仿宋_GB2312"/>
          <w:kern w:val="0"/>
          <w:sz w:val="32"/>
          <w:szCs w:val="32"/>
        </w:rPr>
        <w:t>主要采用实地参观、现场交流、走访座谈、问卷调研</w:t>
      </w:r>
      <w:r>
        <w:rPr>
          <w:rFonts w:hint="eastAsia" w:ascii="仿宋_GB2312" w:hAnsi="仿宋_GB2312" w:eastAsia="仿宋_GB2312" w:cs="仿宋_GB2312"/>
          <w:sz w:val="32"/>
          <w:szCs w:val="32"/>
          <w:shd w:val="clear" w:color="auto" w:fill="FDFEFF"/>
        </w:rPr>
        <w:t>等。</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2.调研内容</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（1）了解国家、地方（省、市）对发展中等职业教育的政策支持和要求，以及相关政策的变化和影响。</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（2）了解本专业所对应的产业或行业的基本情况和发展趋势，包括产业的规模、结构、主要产品或服务、市场竞争情况、政策支持等。</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（3）了解行业中的职业技术标准和新技术、新工艺、新设备、新材料等、预测本专业未来发展前景，为课程设置和教学内容提供依据。</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4）了解企业对本专业所对应的人才需求情况，包括岗位设置、技能要求、薪资待遇等。了解新技术、新工艺、新材料等的更新换代和升级换代对人才需求的影响，以确定专业的培养目标和课程设置，为学生提供更好的职业规划建议。</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（5）了解学生的就业情况，包括就业率、就业领域、就业岗位类型等，以评估该专业的就业前景，了解学生对该专业的满意度，包括课程设置、教学质量、实践教学等方面的意见和反馈。</w:t>
      </w:r>
    </w:p>
    <w:p>
      <w:pPr>
        <w:spacing w:line="58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6）了解学校的课程设置与教学内容，分析该专业的课程设置是否与就业市场需求相匹配，教学内容是否能够培养学生所需的实际技能和知识；了解该专业实践教学环节的设计和实施情况，包括实习实训、项目实践等，以评估学生的实践能力培养效果。了解该专业的教师队伍情况，包括教师的专业背景、教学经验、教学方法等，以评估教学质量和教学效果。</w:t>
      </w:r>
    </w:p>
    <w:p>
      <w:pPr>
        <w:widowControl/>
        <w:spacing w:line="58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bCs/>
          <w:sz w:val="32"/>
          <w:szCs w:val="32"/>
        </w:rPr>
        <w:t>（7）了解高职院校的</w:t>
      </w:r>
      <w:r>
        <w:rPr>
          <w:rFonts w:hint="eastAsia" w:ascii="仿宋_GB2312" w:hAnsi="仿宋_GB2312" w:eastAsia="仿宋_GB2312" w:cs="仿宋_GB2312"/>
          <w:kern w:val="0"/>
          <w:sz w:val="32"/>
          <w:szCs w:val="32"/>
          <w:lang w:bidi="ar"/>
        </w:rPr>
        <w:t>办学理念、办学条件和办学特色、课程设置、教学方法和实践教学等方面的内容。分析对口高职学校在人才培养方面的特点和优势，以及对中专学校未来发展的借鉴意义。</w:t>
      </w:r>
    </w:p>
    <w:p>
      <w:pPr>
        <w:spacing w:line="560" w:lineRule="exact"/>
        <w:ind w:firstLine="640" w:firstLineChars="200"/>
        <w:outlineLvl w:val="9"/>
        <w:rPr>
          <w:rFonts w:ascii="楷体" w:hAnsi="楷体" w:eastAsia="楷体" w:cs="楷体"/>
          <w:kern w:val="0"/>
          <w:sz w:val="32"/>
          <w:szCs w:val="32"/>
        </w:rPr>
      </w:pPr>
      <w:r>
        <w:rPr>
          <w:rFonts w:hint="eastAsia" w:ascii="楷体" w:hAnsi="楷体" w:eastAsia="楷体" w:cs="楷体"/>
          <w:kern w:val="0"/>
          <w:sz w:val="32"/>
          <w:szCs w:val="32"/>
        </w:rPr>
        <w:t>（四）调研安排</w:t>
      </w:r>
    </w:p>
    <w:p>
      <w:pPr>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1.调研时间  </w:t>
      </w:r>
    </w:p>
    <w:p>
      <w:pPr>
        <w:pStyle w:val="4"/>
        <w:spacing w:line="560" w:lineRule="exact"/>
        <w:ind w:firstLine="640"/>
        <w:rPr>
          <w:rFonts w:ascii="仿宋_GB2312" w:hAnsi="仿宋_GB2312" w:eastAsia="仿宋_GB2312" w:cs="仿宋_GB2312"/>
          <w:sz w:val="32"/>
          <w:szCs w:val="32"/>
        </w:rPr>
      </w:pPr>
      <w:r>
        <w:rPr>
          <w:rFonts w:hint="eastAsia" w:ascii="仿宋_GB2312" w:hAnsi="仿宋_GB2312" w:eastAsia="仿宋_GB2312" w:cs="仿宋_GB2312"/>
          <w:sz w:val="32"/>
          <w:szCs w:val="32"/>
        </w:rPr>
        <w:t>2023年10月8日-2023年12月5日</w:t>
      </w:r>
    </w:p>
    <w:p>
      <w:pPr>
        <w:pStyle w:val="4"/>
        <w:spacing w:line="560" w:lineRule="exact"/>
        <w:ind w:firstLine="64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2.调研人员</w:t>
      </w:r>
    </w:p>
    <w:p>
      <w:pPr>
        <w:snapToGrid w:val="0"/>
        <w:spacing w:line="560" w:lineRule="exact"/>
        <w:ind w:firstLine="640" w:firstLineChars="200"/>
        <w:rPr>
          <w:rFonts w:hint="default" w:ascii="仿宋_GB2312" w:hAnsi="仿宋_GB2312" w:eastAsia="仿宋_GB2312" w:cs="仿宋_GB2312"/>
          <w:kern w:val="0"/>
          <w:sz w:val="32"/>
          <w:szCs w:val="32"/>
          <w:lang w:val="en-US"/>
        </w:rPr>
      </w:pPr>
      <w:r>
        <w:rPr>
          <w:rFonts w:hint="eastAsia" w:ascii="仿宋_GB2312" w:hAnsi="仿宋_GB2312" w:eastAsia="仿宋_GB2312" w:cs="仿宋_GB2312"/>
          <w:kern w:val="0"/>
          <w:sz w:val="32"/>
          <w:szCs w:val="32"/>
        </w:rPr>
        <w:t>组长：</w:t>
      </w:r>
      <w:r>
        <w:rPr>
          <w:rFonts w:hint="eastAsia" w:ascii="仿宋_GB2312" w:hAnsi="仿宋_GB2312" w:eastAsia="仿宋_GB2312" w:cs="仿宋_GB2312"/>
          <w:kern w:val="0"/>
          <w:sz w:val="32"/>
          <w:szCs w:val="32"/>
          <w:lang w:val="en-US" w:eastAsia="zh-CN"/>
        </w:rPr>
        <w:t>丛榕榕</w:t>
      </w:r>
    </w:p>
    <w:p>
      <w:pPr>
        <w:snapToGrid w:val="0"/>
        <w:spacing w:line="56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成员：</w:t>
      </w:r>
      <w:r>
        <w:rPr>
          <w:rFonts w:hint="eastAsia" w:ascii="仿宋_GB2312" w:hAnsi="仿宋_GB2312" w:eastAsia="仿宋_GB2312" w:cs="仿宋_GB2312"/>
          <w:kern w:val="0"/>
          <w:sz w:val="32"/>
          <w:szCs w:val="32"/>
          <w:lang w:val="en-US" w:eastAsia="zh-CN"/>
        </w:rPr>
        <w:t>李志恒</w:t>
      </w:r>
      <w:r>
        <w:rPr>
          <w:rFonts w:hint="eastAsia" w:ascii="仿宋_GB2312" w:hAnsi="仿宋_GB2312" w:eastAsia="仿宋_GB2312" w:cs="仿宋_GB2312"/>
          <w:kern w:val="0"/>
          <w:sz w:val="32"/>
          <w:szCs w:val="32"/>
        </w:rPr>
        <w:t>负责人，骨干教师</w:t>
      </w:r>
      <w:r>
        <w:rPr>
          <w:rFonts w:hint="eastAsia" w:ascii="仿宋_GB2312" w:hAnsi="仿宋_GB2312" w:eastAsia="仿宋_GB2312" w:cs="仿宋_GB2312"/>
          <w:kern w:val="0"/>
          <w:sz w:val="32"/>
          <w:szCs w:val="32"/>
          <w:lang w:val="en-US" w:eastAsia="zh-CN"/>
        </w:rPr>
        <w:t>刘雪纯</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隋心怡</w:t>
      </w:r>
      <w:r>
        <w:rPr>
          <w:rFonts w:hint="eastAsia" w:ascii="仿宋_GB2312" w:hAnsi="仿宋_GB2312" w:eastAsia="仿宋_GB2312" w:cs="仿宋_GB2312"/>
          <w:kern w:val="0"/>
          <w:sz w:val="32"/>
          <w:szCs w:val="32"/>
        </w:rPr>
        <w:t>等</w:t>
      </w:r>
    </w:p>
    <w:p>
      <w:pPr>
        <w:numPr>
          <w:ilvl w:val="0"/>
          <w:numId w:val="0"/>
        </w:numPr>
        <w:spacing w:line="560" w:lineRule="exact"/>
        <w:ind w:firstLine="640" w:firstLineChars="200"/>
        <w:outlineLvl w:val="9"/>
        <w:rPr>
          <w:rFonts w:ascii="黑体" w:hAnsi="黑体" w:eastAsia="黑体" w:cs="黑体"/>
          <w:kern w:val="0"/>
          <w:sz w:val="32"/>
          <w:szCs w:val="32"/>
        </w:rPr>
      </w:pPr>
      <w:r>
        <w:rPr>
          <w:rFonts w:hint="eastAsia" w:ascii="黑体" w:hAnsi="黑体" w:eastAsia="黑体" w:cs="黑体"/>
          <w:kern w:val="0"/>
          <w:sz w:val="32"/>
          <w:szCs w:val="32"/>
          <w:lang w:val="en-US" w:eastAsia="zh-CN" w:bidi="ar-SA"/>
        </w:rPr>
        <w:t>二、</w:t>
      </w:r>
      <w:r>
        <w:rPr>
          <w:rFonts w:hint="eastAsia" w:ascii="黑体" w:hAnsi="黑体" w:eastAsia="黑体" w:cs="黑体"/>
          <w:kern w:val="0"/>
          <w:sz w:val="32"/>
          <w:szCs w:val="32"/>
        </w:rPr>
        <w:t>调研分析</w:t>
      </w:r>
    </w:p>
    <w:p>
      <w:pPr>
        <w:snapToGrid w:val="0"/>
        <w:spacing w:line="560" w:lineRule="exact"/>
        <w:ind w:firstLine="704" w:firstLineChars="22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本次调研面向企业发放调研问卷共计4份，回收问卷4份，其中有效问卷4份；面向职业院校发放调研问卷共计4份，回收问卷4份，其中有效问卷4份；面向毕业生发放调研问卷共计150份，回收问卷150份，其中有效问卷150份，通过对调研结果的数据整理、统计和分析，现将结果分析如下：</w:t>
      </w:r>
    </w:p>
    <w:p>
      <w:pPr>
        <w:numPr>
          <w:ilvl w:val="0"/>
          <w:numId w:val="1"/>
        </w:numPr>
        <w:snapToGrid w:val="0"/>
        <w:spacing w:line="560" w:lineRule="exact"/>
        <w:ind w:firstLine="704" w:firstLineChars="220"/>
        <w:outlineLvl w:val="9"/>
        <w:rPr>
          <w:rFonts w:ascii="仿宋_GB2312" w:hAnsi="仿宋_GB2312" w:eastAsia="仿宋_GB2312" w:cs="仿宋_GB2312"/>
          <w:color w:val="000000"/>
          <w:kern w:val="0"/>
          <w:sz w:val="32"/>
          <w:szCs w:val="32"/>
        </w:rPr>
      </w:pPr>
      <w:r>
        <w:rPr>
          <w:rFonts w:hint="eastAsia" w:ascii="楷体" w:hAnsi="楷体" w:eastAsia="楷体" w:cs="楷体"/>
          <w:color w:val="000000"/>
          <w:kern w:val="0"/>
          <w:sz w:val="32"/>
          <w:szCs w:val="32"/>
        </w:rPr>
        <w:t>计算机平面设计行业发展现状和趋势</w:t>
      </w:r>
    </w:p>
    <w:p>
      <w:pPr>
        <w:snapToGrid w:val="0"/>
        <w:spacing w:line="560" w:lineRule="exact"/>
        <w:ind w:firstLine="704" w:firstLineChars="22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随着信息技术的不断发展，计算机平面设计专业的未来发展趋势也将更加广阔。首先，计算机平面设计专业将更加注重创意能力的培养，以满足市场对于创意型人才的需求。其次，计算机平面设计专业将更加注重数字化技术的应用，以满足数字化时代的需求。最后，计算机平面设计专业将更加注重跨界融合，以满足多元化的市场需求。</w:t>
      </w:r>
    </w:p>
    <w:p>
      <w:pPr>
        <w:numPr>
          <w:ilvl w:val="0"/>
          <w:numId w:val="1"/>
        </w:numPr>
        <w:snapToGrid w:val="0"/>
        <w:spacing w:line="560" w:lineRule="exact"/>
        <w:ind w:firstLine="704" w:firstLineChars="22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企业对计算机平面设计专业毕业生需求情况</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近2-3年各企业对计算机平面设计专业学生的需求量分析如下，经走访调研除</w:t>
      </w:r>
      <w:r>
        <w:rPr>
          <w:rFonts w:hint="eastAsia" w:ascii="仿宋_GB2312" w:hAnsi="仿宋_GB2312" w:eastAsia="仿宋_GB2312" w:cs="仿宋_GB2312"/>
          <w:sz w:val="32"/>
          <w:szCs w:val="32"/>
          <w:lang w:val="en-US" w:eastAsia="zh-CN"/>
        </w:rPr>
        <w:t>威海汉鼎渔具</w:t>
      </w:r>
      <w:r>
        <w:rPr>
          <w:rFonts w:hint="eastAsia" w:ascii="仿宋_GB2312" w:hAnsi="仿宋_GB2312" w:eastAsia="仿宋_GB2312" w:cs="仿宋_GB2312"/>
          <w:sz w:val="32"/>
          <w:szCs w:val="32"/>
        </w:rPr>
        <w:t>的需求两在50人以上外，其他几家规模不大的广告公司需求量都在10人以下。企业人才流失更新速度较快，对毕业生的需求量很大，但这也与企业规模相关，计算机平面设计专业就业方向主要以中小型广告公司为主，规模决定需求量。</w:t>
      </w:r>
    </w:p>
    <w:p>
      <w:pPr>
        <w:snapToGrid w:val="0"/>
        <w:spacing w:line="560" w:lineRule="exact"/>
        <w:ind w:firstLine="704" w:firstLineChars="220"/>
        <w:outlineLvl w:val="9"/>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drawing>
          <wp:anchor distT="0" distB="0" distL="114300" distR="114300" simplePos="0" relativeHeight="251663360" behindDoc="0" locked="0" layoutInCell="1" allowOverlap="1">
            <wp:simplePos x="0" y="0"/>
            <wp:positionH relativeFrom="column">
              <wp:posOffset>953135</wp:posOffset>
            </wp:positionH>
            <wp:positionV relativeFrom="paragraph">
              <wp:posOffset>324485</wp:posOffset>
            </wp:positionV>
            <wp:extent cx="3623945" cy="1852930"/>
            <wp:effectExtent l="0" t="0" r="14605" b="13970"/>
            <wp:wrapNone/>
            <wp:docPr id="12" name="图片 12" descr="毕业生就业岗位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毕业生就业岗位分析"/>
                    <pic:cNvPicPr>
                      <a:picLocks noChangeAspect="1"/>
                    </pic:cNvPicPr>
                  </pic:nvPicPr>
                  <pic:blipFill>
                    <a:blip r:embed="rId10"/>
                    <a:srcRect l="4558" t="8313" r="2483" b="7834"/>
                    <a:stretch>
                      <a:fillRect/>
                    </a:stretch>
                  </pic:blipFill>
                  <pic:spPr>
                    <a:xfrm>
                      <a:off x="0" y="0"/>
                      <a:ext cx="3623945" cy="1852930"/>
                    </a:xfrm>
                    <a:prstGeom prst="rect">
                      <a:avLst/>
                    </a:prstGeom>
                  </pic:spPr>
                </pic:pic>
              </a:graphicData>
            </a:graphic>
          </wp:anchor>
        </w:drawing>
      </w:r>
      <w:r>
        <w:rPr>
          <w:rFonts w:hint="eastAsia" w:ascii="仿宋_GB2312" w:hAnsi="仿宋_GB2312" w:eastAsia="仿宋_GB2312" w:cs="仿宋_GB2312"/>
          <w:color w:val="000000"/>
          <w:kern w:val="0"/>
          <w:sz w:val="32"/>
          <w:szCs w:val="32"/>
        </w:rPr>
        <w:t>（</w:t>
      </w:r>
      <w:r>
        <w:rPr>
          <w:rFonts w:hint="eastAsia" w:ascii="楷体" w:hAnsi="楷体" w:eastAsia="楷体" w:cs="楷体"/>
          <w:color w:val="000000"/>
          <w:kern w:val="0"/>
          <w:sz w:val="32"/>
          <w:szCs w:val="32"/>
        </w:rPr>
        <w:t>三）毕业生的就业面向和主要职业岗位情况</w:t>
      </w:r>
    </w:p>
    <w:p>
      <w:pPr>
        <w:snapToGrid w:val="0"/>
        <w:spacing w:line="560" w:lineRule="exact"/>
        <w:ind w:firstLine="704" w:firstLineChars="220"/>
        <w:rPr>
          <w:rFonts w:ascii="仿宋_GB2312" w:hAnsi="仿宋_GB2312" w:eastAsia="仿宋_GB2312" w:cs="仿宋_GB2312"/>
          <w:color w:val="000000"/>
          <w:kern w:val="0"/>
          <w:sz w:val="32"/>
          <w:szCs w:val="32"/>
        </w:rPr>
      </w:pPr>
    </w:p>
    <w:p>
      <w:pPr>
        <w:snapToGrid w:val="0"/>
        <w:spacing w:line="560" w:lineRule="exact"/>
        <w:ind w:firstLine="704" w:firstLineChars="220"/>
        <w:rPr>
          <w:rFonts w:ascii="仿宋_GB2312" w:hAnsi="仿宋_GB2312" w:eastAsia="仿宋_GB2312" w:cs="仿宋_GB2312"/>
          <w:color w:val="000000"/>
          <w:kern w:val="0"/>
          <w:sz w:val="32"/>
          <w:szCs w:val="32"/>
        </w:rPr>
      </w:pPr>
    </w:p>
    <w:p>
      <w:pPr>
        <w:snapToGrid w:val="0"/>
        <w:spacing w:line="560" w:lineRule="exact"/>
        <w:ind w:firstLine="704" w:firstLineChars="220"/>
        <w:rPr>
          <w:rFonts w:ascii="仿宋_GB2312" w:hAnsi="仿宋_GB2312" w:eastAsia="仿宋_GB2312" w:cs="仿宋_GB2312"/>
          <w:color w:val="000000"/>
          <w:kern w:val="0"/>
          <w:sz w:val="32"/>
          <w:szCs w:val="32"/>
        </w:rPr>
      </w:pPr>
    </w:p>
    <w:p>
      <w:pPr>
        <w:snapToGrid w:val="0"/>
        <w:spacing w:line="560" w:lineRule="exact"/>
        <w:rPr>
          <w:rFonts w:ascii="仿宋_GB2312" w:hAnsi="仿宋_GB2312" w:eastAsia="仿宋_GB2312" w:cs="仿宋_GB2312"/>
          <w:color w:val="000000"/>
          <w:kern w:val="0"/>
          <w:sz w:val="32"/>
          <w:szCs w:val="32"/>
        </w:rPr>
      </w:pPr>
    </w:p>
    <w:p>
      <w:pPr>
        <w:snapToGrid w:val="0"/>
        <w:spacing w:line="560" w:lineRule="exact"/>
        <w:ind w:firstLine="704" w:firstLineChars="220"/>
        <w:rPr>
          <w:rFonts w:ascii="仿宋_GB2312" w:hAnsi="仿宋_GB2312" w:eastAsia="仿宋_GB2312" w:cs="仿宋_GB2312"/>
          <w:color w:val="000000"/>
          <w:kern w:val="0"/>
          <w:sz w:val="32"/>
          <w:szCs w:val="32"/>
        </w:rPr>
      </w:pPr>
    </w:p>
    <w:p>
      <w:pPr>
        <w:snapToGrid w:val="0"/>
        <w:spacing w:line="560" w:lineRule="exact"/>
        <w:ind w:firstLine="704" w:firstLineChars="22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调研发现，毕业生的就业方向以广告公司设计师为主，广告公司设计师占57.33%，广告公司业务员占8.67%，还有14%的毕业生选择自主创业，由此可见计算机平面设计专业的毕业生就业的第一选择是对口专业。</w:t>
      </w:r>
    </w:p>
    <w:p>
      <w:pPr>
        <w:numPr>
          <w:ilvl w:val="0"/>
          <w:numId w:val="1"/>
        </w:numPr>
        <w:snapToGrid w:val="0"/>
        <w:spacing w:line="560" w:lineRule="exact"/>
        <w:ind w:firstLine="704" w:firstLineChars="22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企业对本专业学生职业能力方面的要求</w:t>
      </w:r>
    </w:p>
    <w:p>
      <w:pPr>
        <w:snapToGrid w:val="0"/>
        <w:spacing w:line="560" w:lineRule="exact"/>
        <w:ind w:left="462" w:leftChars="220"/>
        <w:rPr>
          <w:rFonts w:ascii="楷体" w:hAnsi="楷体" w:eastAsia="楷体" w:cs="楷体"/>
          <w:color w:val="000000"/>
          <w:kern w:val="0"/>
          <w:sz w:val="32"/>
          <w:szCs w:val="32"/>
        </w:rPr>
      </w:pPr>
      <w:r>
        <w:rPr>
          <w:rFonts w:hint="eastAsia" w:ascii="楷体" w:hAnsi="楷体" w:eastAsia="楷体" w:cs="楷体"/>
          <w:color w:val="000000"/>
          <w:kern w:val="0"/>
          <w:sz w:val="32"/>
          <w:szCs w:val="32"/>
        </w:rPr>
        <w:drawing>
          <wp:anchor distT="0" distB="0" distL="114300" distR="114300" simplePos="0" relativeHeight="251664384" behindDoc="0" locked="0" layoutInCell="1" allowOverlap="1">
            <wp:simplePos x="0" y="0"/>
            <wp:positionH relativeFrom="column">
              <wp:posOffset>1256665</wp:posOffset>
            </wp:positionH>
            <wp:positionV relativeFrom="paragraph">
              <wp:posOffset>89535</wp:posOffset>
            </wp:positionV>
            <wp:extent cx="3357880" cy="1903095"/>
            <wp:effectExtent l="0" t="0" r="13970" b="1905"/>
            <wp:wrapNone/>
            <wp:docPr id="13" name="图片 13" descr="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hart"/>
                    <pic:cNvPicPr>
                      <a:picLocks noChangeAspect="1"/>
                    </pic:cNvPicPr>
                  </pic:nvPicPr>
                  <pic:blipFill>
                    <a:blip r:embed="rId11"/>
                    <a:stretch>
                      <a:fillRect/>
                    </a:stretch>
                  </pic:blipFill>
                  <pic:spPr>
                    <a:xfrm>
                      <a:off x="0" y="0"/>
                      <a:ext cx="3357880" cy="1903095"/>
                    </a:xfrm>
                    <a:prstGeom prst="rect">
                      <a:avLst/>
                    </a:prstGeom>
                  </pic:spPr>
                </pic:pic>
              </a:graphicData>
            </a:graphic>
          </wp:anchor>
        </w:drawing>
      </w:r>
    </w:p>
    <w:p>
      <w:pPr>
        <w:ind w:firstLine="640" w:firstLineChars="200"/>
        <w:rPr>
          <w:rFonts w:hint="eastAsia" w:ascii="仿宋_GB2312" w:hAnsi="仿宋_GB2312" w:eastAsia="仿宋_GB2312" w:cs="仿宋_GB2312"/>
          <w:color w:val="000000"/>
          <w:kern w:val="0"/>
          <w:sz w:val="32"/>
          <w:szCs w:val="32"/>
        </w:rPr>
      </w:pPr>
    </w:p>
    <w:p>
      <w:pPr>
        <w:ind w:firstLine="640" w:firstLineChars="200"/>
        <w:rPr>
          <w:rFonts w:hint="eastAsia" w:ascii="仿宋_GB2312" w:hAnsi="仿宋_GB2312" w:eastAsia="仿宋_GB2312" w:cs="仿宋_GB2312"/>
          <w:color w:val="000000"/>
          <w:kern w:val="0"/>
          <w:sz w:val="32"/>
          <w:szCs w:val="32"/>
        </w:rPr>
      </w:pPr>
    </w:p>
    <w:p>
      <w:pPr>
        <w:ind w:firstLine="640" w:firstLineChars="200"/>
        <w:rPr>
          <w:rFonts w:hint="eastAsia" w:ascii="仿宋_GB2312" w:hAnsi="仿宋_GB2312" w:eastAsia="仿宋_GB2312" w:cs="仿宋_GB2312"/>
          <w:color w:val="000000"/>
          <w:kern w:val="0"/>
          <w:sz w:val="32"/>
          <w:szCs w:val="32"/>
        </w:rPr>
      </w:pPr>
    </w:p>
    <w:p>
      <w:pPr>
        <w:ind w:firstLine="640" w:firstLineChars="200"/>
        <w:rPr>
          <w:rFonts w:hint="eastAsia" w:ascii="仿宋_GB2312" w:hAnsi="仿宋_GB2312" w:eastAsia="仿宋_GB2312" w:cs="仿宋_GB2312"/>
          <w:color w:val="000000"/>
          <w:kern w:val="0"/>
          <w:sz w:val="32"/>
          <w:szCs w:val="32"/>
        </w:rPr>
      </w:pPr>
    </w:p>
    <w:p>
      <w:pPr>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调研发现，企业对计算机平面设计专业学生的职业能力非常的重视，需要具备扎实的美术基础、强烈敏锐的感受能力、发明创造的能力、对作品的美学鉴定能力、对设计构想的表达能力、具备全面的专业技能，也就是说对计算机平面设计专业学生的综合要求较高，需要具备各方面素质，综合发展。</w:t>
      </w:r>
    </w:p>
    <w:p>
      <w:pPr>
        <w:numPr>
          <w:ilvl w:val="0"/>
          <w:numId w:val="1"/>
        </w:numPr>
        <w:snapToGrid w:val="0"/>
        <w:spacing w:line="560" w:lineRule="exact"/>
        <w:ind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企业对毕业生职业道德的要求</w:t>
      </w:r>
    </w:p>
    <w:p>
      <w:pPr>
        <w:pStyle w:val="16"/>
        <w:spacing w:before="0" w:beforeAutospacing="0" w:after="0" w:afterAutospacing="0"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走访调研发现，企业在对毕业生职业道德要求方面人品很看重，很多企业都认为毕业生的忠诚度至关重要。有接近六成的用人单位表示对毕业生“先就业后择业”的做法表示赞同和接受，这也体现了双向选择的公平性和现实性；但也需要提醒的是，无论何种情况下，毕业生在做出毁约、跳槽的抉择时，一定要注意与原单位的沟通，保持对工作的一贯责任心。</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众所周知，在众多资源中，人才是根本，人才是企业发展的第一要素，是推动企业发展的最强大力量，也是企业必须紧紧抓住、努力开发的核心资源。很多企业并不缺乏人才，有的甚至人才济济，但却面临着发展动力不足的困境乃至惨遭淘汰的结局，往往是因为缺乏一批值得信赖、忠诚度高的员工的付出。因此，企业对毕业生的职业道德要求更为重要。</w:t>
      </w:r>
    </w:p>
    <w:p>
      <w:pPr>
        <w:numPr>
          <w:ilvl w:val="0"/>
          <w:numId w:val="1"/>
        </w:numPr>
        <w:snapToGrid w:val="0"/>
        <w:spacing w:line="560" w:lineRule="exact"/>
        <w:ind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毕业生对专业课程设置需求情况分析</w:t>
      </w:r>
    </w:p>
    <w:p>
      <w:pPr>
        <w:snapToGrid w:val="0"/>
        <w:spacing w:line="560" w:lineRule="exact"/>
        <w:ind w:left="420" w:leftChars="200"/>
        <w:rPr>
          <w:rFonts w:ascii="楷体" w:hAnsi="楷体" w:eastAsia="楷体" w:cs="楷体"/>
          <w:color w:val="000000"/>
          <w:kern w:val="0"/>
          <w:sz w:val="32"/>
          <w:szCs w:val="32"/>
        </w:rPr>
      </w:pPr>
      <w:r>
        <w:rPr>
          <w:rFonts w:hint="eastAsia" w:ascii="楷体" w:hAnsi="楷体" w:eastAsia="楷体" w:cs="楷体"/>
          <w:color w:val="000000"/>
          <w:kern w:val="0"/>
          <w:sz w:val="32"/>
          <w:szCs w:val="32"/>
        </w:rPr>
        <w:drawing>
          <wp:anchor distT="0" distB="0" distL="114300" distR="114300" simplePos="0" relativeHeight="251666432" behindDoc="0" locked="0" layoutInCell="1" allowOverlap="1">
            <wp:simplePos x="0" y="0"/>
            <wp:positionH relativeFrom="column">
              <wp:posOffset>1050290</wp:posOffset>
            </wp:positionH>
            <wp:positionV relativeFrom="paragraph">
              <wp:posOffset>110490</wp:posOffset>
            </wp:positionV>
            <wp:extent cx="3535680" cy="2003425"/>
            <wp:effectExtent l="0" t="0" r="7620" b="15875"/>
            <wp:wrapNone/>
            <wp:docPr id="14" name="图片 14" descr="毕业生对专业课程的需求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毕业生对专业课程的需求分析"/>
                    <pic:cNvPicPr>
                      <a:picLocks noChangeAspect="1"/>
                    </pic:cNvPicPr>
                  </pic:nvPicPr>
                  <pic:blipFill>
                    <a:blip r:embed="rId12"/>
                    <a:stretch>
                      <a:fillRect/>
                    </a:stretch>
                  </pic:blipFill>
                  <pic:spPr>
                    <a:xfrm>
                      <a:off x="0" y="0"/>
                      <a:ext cx="3535680" cy="2003425"/>
                    </a:xfrm>
                    <a:prstGeom prst="rect">
                      <a:avLst/>
                    </a:prstGeom>
                  </pic:spPr>
                </pic:pic>
              </a:graphicData>
            </a:graphic>
          </wp:anchor>
        </w:drawing>
      </w: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firstLine="640" w:firstLineChars="200"/>
        <w:rPr>
          <w:rFonts w:hint="eastAsia" w:ascii="仿宋_GB2312" w:hAnsi="仿宋_GB2312" w:eastAsia="仿宋_GB2312" w:cs="仿宋_GB2312"/>
          <w:color w:val="000000"/>
          <w:kern w:val="0"/>
          <w:sz w:val="32"/>
          <w:szCs w:val="32"/>
        </w:rPr>
      </w:pPr>
    </w:p>
    <w:p>
      <w:pPr>
        <w:snapToGrid w:val="0"/>
        <w:spacing w:line="560" w:lineRule="exact"/>
        <w:ind w:firstLine="640" w:firstLineChars="200"/>
        <w:rPr>
          <w:rFonts w:hint="eastAsia" w:ascii="仿宋_GB2312" w:hAnsi="仿宋_GB2312" w:eastAsia="仿宋_GB2312" w:cs="仿宋_GB2312"/>
          <w:color w:val="000000"/>
          <w:kern w:val="0"/>
          <w:sz w:val="32"/>
          <w:szCs w:val="32"/>
        </w:rPr>
      </w:pPr>
    </w:p>
    <w:p>
      <w:pPr>
        <w:snapToGrid w:val="0"/>
        <w:spacing w:line="560" w:lineRule="exact"/>
        <w:ind w:firstLine="640" w:firstLineChars="200"/>
        <w:rPr>
          <w:rFonts w:hint="eastAsia" w:ascii="仿宋_GB2312" w:hAnsi="仿宋_GB2312" w:eastAsia="仿宋_GB2312" w:cs="仿宋_GB2312"/>
          <w:color w:val="000000"/>
          <w:kern w:val="0"/>
          <w:sz w:val="32"/>
          <w:szCs w:val="32"/>
        </w:rPr>
      </w:pP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目前，毕业生就业方向以广告设计公司设计师为主，在工作中用到的软件以Photoshop和Illustrator为主，83%的学生选择的工作是进行图形图形的处理工作，在几个婚纱影楼工作的毕业生主要负责对照片的调整和修改，所以图形图形处理和广告设计与制作课程是占比比较大的。</w:t>
      </w:r>
    </w:p>
    <w:p>
      <w:pPr>
        <w:numPr>
          <w:ilvl w:val="0"/>
          <w:numId w:val="1"/>
        </w:numPr>
        <w:snapToGrid w:val="0"/>
        <w:spacing w:line="560" w:lineRule="exact"/>
        <w:ind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毕业生在实习和工作中的收获调查</w:t>
      </w:r>
    </w:p>
    <w:p>
      <w:pPr>
        <w:snapToGrid w:val="0"/>
        <w:spacing w:line="560" w:lineRule="exact"/>
        <w:ind w:left="420" w:leftChars="200"/>
        <w:rPr>
          <w:rFonts w:ascii="楷体" w:hAnsi="楷体" w:eastAsia="楷体" w:cs="楷体"/>
          <w:color w:val="000000"/>
          <w:kern w:val="0"/>
          <w:sz w:val="32"/>
          <w:szCs w:val="32"/>
        </w:rPr>
      </w:pPr>
      <w:r>
        <w:rPr>
          <w:rFonts w:hint="eastAsia" w:ascii="楷体" w:hAnsi="楷体" w:eastAsia="楷体" w:cs="楷体"/>
          <w:color w:val="000000"/>
          <w:kern w:val="0"/>
          <w:sz w:val="32"/>
          <w:szCs w:val="32"/>
        </w:rPr>
        <w:drawing>
          <wp:anchor distT="0" distB="0" distL="114300" distR="114300" simplePos="0" relativeHeight="251667456" behindDoc="0" locked="0" layoutInCell="1" allowOverlap="1">
            <wp:simplePos x="0" y="0"/>
            <wp:positionH relativeFrom="column">
              <wp:posOffset>934720</wp:posOffset>
            </wp:positionH>
            <wp:positionV relativeFrom="paragraph">
              <wp:posOffset>93345</wp:posOffset>
            </wp:positionV>
            <wp:extent cx="3500755" cy="1680210"/>
            <wp:effectExtent l="0" t="0" r="4445" b="15240"/>
            <wp:wrapNone/>
            <wp:docPr id="15" name="图片 15" descr="毕业生就业后的收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毕业生就业后的收获"/>
                    <pic:cNvPicPr>
                      <a:picLocks noChangeAspect="1"/>
                    </pic:cNvPicPr>
                  </pic:nvPicPr>
                  <pic:blipFill>
                    <a:blip r:embed="rId13"/>
                    <a:srcRect t="9444" b="5889"/>
                    <a:stretch>
                      <a:fillRect/>
                    </a:stretch>
                  </pic:blipFill>
                  <pic:spPr>
                    <a:xfrm>
                      <a:off x="0" y="0"/>
                      <a:ext cx="3500755" cy="1680210"/>
                    </a:xfrm>
                    <a:prstGeom prst="rect">
                      <a:avLst/>
                    </a:prstGeom>
                  </pic:spPr>
                </pic:pic>
              </a:graphicData>
            </a:graphic>
          </wp:anchor>
        </w:drawing>
      </w: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rPr>
          <w:rFonts w:ascii="楷体" w:hAnsi="楷体" w:eastAsia="楷体" w:cs="楷体"/>
          <w:color w:val="000000"/>
          <w:kern w:val="0"/>
          <w:sz w:val="32"/>
          <w:szCs w:val="32"/>
        </w:rPr>
      </w:pPr>
    </w:p>
    <w:p>
      <w:pPr>
        <w:snapToGrid w:val="0"/>
        <w:spacing w:line="560" w:lineRule="exact"/>
        <w:ind w:firstLine="640" w:firstLineChars="200"/>
        <w:rPr>
          <w:rFonts w:ascii="仿宋_GB2312" w:hAnsi="仿宋_GB2312" w:eastAsia="仿宋_GB2312" w:cs="仿宋_GB2312"/>
          <w:color w:val="000000"/>
          <w:kern w:val="0"/>
          <w:sz w:val="32"/>
          <w:szCs w:val="32"/>
        </w:rPr>
      </w:pPr>
    </w:p>
    <w:p>
      <w:pPr>
        <w:snapToGrid w:val="0"/>
        <w:spacing w:line="560" w:lineRule="exact"/>
        <w:ind w:firstLine="640" w:firstLineChars="200"/>
        <w:rPr>
          <w:rFonts w:ascii="楷体" w:hAnsi="楷体" w:eastAsia="楷体" w:cs="楷体"/>
          <w:color w:val="000000"/>
          <w:kern w:val="0"/>
          <w:sz w:val="32"/>
          <w:szCs w:val="32"/>
        </w:rPr>
      </w:pPr>
      <w:r>
        <w:rPr>
          <w:rFonts w:hint="eastAsia" w:ascii="仿宋_GB2312" w:hAnsi="仿宋_GB2312" w:eastAsia="仿宋_GB2312" w:cs="仿宋_GB2312"/>
          <w:color w:val="000000"/>
          <w:kern w:val="0"/>
          <w:sz w:val="32"/>
          <w:szCs w:val="32"/>
        </w:rPr>
        <w:t>在调研中，我们重点关系学生就业后的收获和感触的分析，其中84%的学生认为专业技能在实习和工作中得到了更大程度的提升，并在工作中收获的更多学校给不了的锻炼机会，学生对稳定的工作岗位也是非常向往和需要的，在工作中也终于体会到团队合作的重要性，在工作中得到了成长。</w:t>
      </w:r>
    </w:p>
    <w:p>
      <w:pPr>
        <w:numPr>
          <w:ilvl w:val="0"/>
          <w:numId w:val="1"/>
        </w:numPr>
        <w:snapToGrid w:val="0"/>
        <w:spacing w:line="560" w:lineRule="exact"/>
        <w:ind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中职院校对本专业的课程设置分析情况</w:t>
      </w:r>
    </w:p>
    <w:p>
      <w:pPr>
        <w:snapToGrid w:val="0"/>
        <w:spacing w:line="560" w:lineRule="exact"/>
        <w:ind w:left="420" w:leftChars="200"/>
        <w:rPr>
          <w:rFonts w:ascii="楷体" w:hAnsi="楷体" w:eastAsia="楷体" w:cs="楷体"/>
          <w:color w:val="000000"/>
          <w:kern w:val="0"/>
          <w:sz w:val="32"/>
          <w:szCs w:val="32"/>
        </w:rPr>
      </w:pPr>
      <w:r>
        <w:rPr>
          <w:rFonts w:hint="eastAsia" w:ascii="楷体" w:hAnsi="楷体" w:eastAsia="楷体" w:cs="楷体"/>
          <w:color w:val="000000"/>
          <w:kern w:val="0"/>
          <w:sz w:val="32"/>
          <w:szCs w:val="32"/>
        </w:rPr>
        <w:drawing>
          <wp:anchor distT="0" distB="0" distL="114300" distR="114300" simplePos="0" relativeHeight="251665408" behindDoc="0" locked="0" layoutInCell="1" allowOverlap="1">
            <wp:simplePos x="0" y="0"/>
            <wp:positionH relativeFrom="column">
              <wp:posOffset>621665</wp:posOffset>
            </wp:positionH>
            <wp:positionV relativeFrom="paragraph">
              <wp:posOffset>93345</wp:posOffset>
            </wp:positionV>
            <wp:extent cx="4502150" cy="2551430"/>
            <wp:effectExtent l="0" t="0" r="12700" b="1270"/>
            <wp:wrapNone/>
            <wp:docPr id="16" name="图片 16" descr="各院校对课程设置的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各院校对课程设置的分析"/>
                    <pic:cNvPicPr>
                      <a:picLocks noChangeAspect="1"/>
                    </pic:cNvPicPr>
                  </pic:nvPicPr>
                  <pic:blipFill>
                    <a:blip r:embed="rId14"/>
                    <a:stretch>
                      <a:fillRect/>
                    </a:stretch>
                  </pic:blipFill>
                  <pic:spPr>
                    <a:xfrm>
                      <a:off x="0" y="0"/>
                      <a:ext cx="4502150" cy="2551430"/>
                    </a:xfrm>
                    <a:prstGeom prst="rect">
                      <a:avLst/>
                    </a:prstGeom>
                  </pic:spPr>
                </pic:pic>
              </a:graphicData>
            </a:graphic>
          </wp:anchor>
        </w:drawing>
      </w: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rPr>
          <w:rFonts w:ascii="楷体" w:hAnsi="楷体" w:eastAsia="楷体" w:cs="楷体"/>
          <w:color w:val="000000"/>
          <w:kern w:val="0"/>
          <w:sz w:val="32"/>
          <w:szCs w:val="32"/>
        </w:rPr>
      </w:pPr>
    </w:p>
    <w:p>
      <w:pPr>
        <w:snapToGrid w:val="0"/>
        <w:spacing w:line="560" w:lineRule="exact"/>
        <w:ind w:left="420" w:leftChars="200" w:firstLine="640" w:firstLineChars="200"/>
        <w:rPr>
          <w:rFonts w:hint="eastAsia" w:ascii="仿宋_GB2312" w:hAnsi="仿宋_GB2312" w:eastAsia="仿宋_GB2312" w:cs="仿宋_GB2312"/>
          <w:color w:val="000000"/>
          <w:kern w:val="0"/>
          <w:sz w:val="32"/>
          <w:szCs w:val="32"/>
        </w:rPr>
      </w:pPr>
    </w:p>
    <w:p>
      <w:pPr>
        <w:snapToGrid w:val="0"/>
        <w:spacing w:line="560" w:lineRule="exact"/>
        <w:ind w:left="420" w:leftChars="200" w:firstLine="640" w:firstLineChars="200"/>
        <w:rPr>
          <w:rFonts w:ascii="楷体" w:hAnsi="楷体" w:eastAsia="楷体" w:cs="楷体"/>
          <w:color w:val="000000"/>
          <w:kern w:val="0"/>
          <w:sz w:val="32"/>
          <w:szCs w:val="32"/>
        </w:rPr>
      </w:pPr>
      <w:r>
        <w:rPr>
          <w:rFonts w:hint="eastAsia" w:ascii="仿宋_GB2312" w:hAnsi="仿宋_GB2312" w:eastAsia="仿宋_GB2312" w:cs="仿宋_GB2312"/>
          <w:color w:val="000000"/>
          <w:kern w:val="0"/>
          <w:sz w:val="32"/>
          <w:szCs w:val="32"/>
        </w:rPr>
        <w:t>在对中职院校调研中，课程设置调研是一项非常重要的内容，课程设置的合理性对学生的培养起到关键的作用，调研中发现专业核心课程对于各院校平面设计专业来说属于必修课程，重要性较强。基础理论课程的调研占比也不低，这就能看出来我们的课程设置很合理，各门课程占比均匀。</w:t>
      </w:r>
    </w:p>
    <w:p>
      <w:pPr>
        <w:numPr>
          <w:ilvl w:val="0"/>
          <w:numId w:val="1"/>
        </w:numPr>
        <w:snapToGrid w:val="0"/>
        <w:spacing w:line="560" w:lineRule="exact"/>
        <w:ind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高职院校对选修课程的认识</w:t>
      </w:r>
    </w:p>
    <w:p>
      <w:pPr>
        <w:snapToGrid w:val="0"/>
        <w:spacing w:line="560" w:lineRule="exact"/>
        <w:ind w:left="420" w:leftChars="200"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在对高职院校调研中，企业VI设计、版式设计、网页设计、印刷品设计、摄影、AntoCAD、3DMAX这些课程中，版式设计和企业VI设计的占比相对较大，高职院校的专业方向也决定了课程开设的方向。</w:t>
      </w:r>
    </w:p>
    <w:p>
      <w:pPr>
        <w:snapToGrid w:val="0"/>
        <w:spacing w:line="560" w:lineRule="exact"/>
        <w:ind w:firstLine="960" w:firstLineChars="300"/>
        <w:outlineLvl w:val="9"/>
        <w:rPr>
          <w:rFonts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三、调研结论</w:t>
      </w:r>
    </w:p>
    <w:p>
      <w:pPr>
        <w:snapToGrid w:val="0"/>
        <w:spacing w:line="560" w:lineRule="exact"/>
        <w:ind w:firstLine="640" w:firstLineChars="200"/>
        <w:outlineLvl w:val="9"/>
        <w:rPr>
          <w:rFonts w:ascii="楷体" w:hAnsi="楷体" w:eastAsia="楷体" w:cs="楷体"/>
          <w:b/>
          <w:bCs/>
          <w:color w:val="000000"/>
          <w:kern w:val="0"/>
          <w:sz w:val="32"/>
          <w:szCs w:val="32"/>
        </w:rPr>
      </w:pPr>
      <w:r>
        <w:rPr>
          <w:rFonts w:hint="eastAsia" w:ascii="楷体" w:hAnsi="楷体" w:eastAsia="楷体" w:cs="楷体"/>
          <w:color w:val="000000"/>
          <w:kern w:val="0"/>
          <w:sz w:val="32"/>
          <w:szCs w:val="32"/>
        </w:rPr>
        <w:t xml:space="preserve">（一）行业企业对本专业人才需求方面的结论 </w:t>
      </w:r>
    </w:p>
    <w:p>
      <w:pPr>
        <w:spacing w:line="560" w:lineRule="exact"/>
        <w:rPr>
          <w:rFonts w:ascii="仿宋_GB2312" w:hAnsi="仿宋_GB2312" w:eastAsia="仿宋_GB2312" w:cs="仿宋_GB2312"/>
          <w:color w:val="000000"/>
          <w:kern w:val="0"/>
          <w:sz w:val="32"/>
          <w:szCs w:val="32"/>
        </w:rPr>
      </w:pPr>
      <w:r>
        <w:rPr>
          <w:rFonts w:hint="eastAsia" w:ascii="楷体" w:hAnsi="楷体" w:eastAsia="楷体" w:cs="楷体"/>
          <w:color w:val="000000"/>
          <w:kern w:val="0"/>
          <w:sz w:val="32"/>
          <w:szCs w:val="32"/>
        </w:rPr>
        <w:t xml:space="preserve">     </w:t>
      </w:r>
      <w:r>
        <w:rPr>
          <w:rFonts w:hint="eastAsia" w:ascii="仿宋_GB2312" w:hAnsi="仿宋_GB2312" w:eastAsia="仿宋_GB2312" w:cs="仿宋_GB2312"/>
          <w:color w:val="000000"/>
          <w:kern w:val="0"/>
          <w:sz w:val="32"/>
          <w:szCs w:val="32"/>
        </w:rPr>
        <w:t>随着信息技术的不断发展，计算机平面设计专业的就业前景也越来越广阔。中国的广告行业犹如房价一路攀爬，增长急速加快，和所有新兴的软性服务行业一样，广告公司最重要和希缺的资产就是人才。在这方面，广告公司往往善于调整自身人才斟选机制，抛弃传统选才观念。此外，随着数字化时代的到来，计算机平面设计专业的就业前景还将继续扩大。</w:t>
      </w:r>
    </w:p>
    <w:p>
      <w:pPr>
        <w:spacing w:line="560" w:lineRule="exact"/>
        <w:ind w:firstLine="640" w:firstLineChars="200"/>
        <w:rPr>
          <w:rFonts w:ascii="楷体" w:hAnsi="楷体" w:eastAsia="楷体" w:cs="楷体"/>
          <w:color w:val="000000"/>
          <w:kern w:val="0"/>
          <w:sz w:val="32"/>
          <w:szCs w:val="32"/>
        </w:rPr>
      </w:pPr>
      <w:r>
        <w:rPr>
          <w:rFonts w:hint="eastAsia" w:ascii="仿宋_GB2312" w:hAnsi="仿宋_GB2312" w:eastAsia="仿宋_GB2312" w:cs="仿宋_GB2312"/>
          <w:color w:val="000000"/>
          <w:kern w:val="0"/>
          <w:sz w:val="32"/>
          <w:szCs w:val="32"/>
        </w:rPr>
        <w:t>调查显示，67%的用人单位非常注重毕业生的是人品和实践经验，其次是所学专业。在其他条件相同的情况下，用人单位会优先考虑成绩优秀的毕业生，共有70%的用人单位会优先考虑具工作经验或有学生干部背景的学生。综合来看，专业对口、学以致用且具有一定的组织管理能力的毕业生能得到大多数用人单位的认同。因此，毕业生首先要做的、也是最本职的工作就是——修好自己的学业、掌握扎实的专业知识，其次是要有意识地加强社会实践与工作实习方面的锻炼。</w:t>
      </w:r>
    </w:p>
    <w:p>
      <w:pPr>
        <w:numPr>
          <w:ilvl w:val="0"/>
          <w:numId w:val="2"/>
        </w:numPr>
        <w:snapToGrid w:val="0"/>
        <w:spacing w:line="560" w:lineRule="exact"/>
        <w:ind w:left="0" w:firstLine="640" w:firstLineChars="200"/>
        <w:rPr>
          <w:rFonts w:ascii="楷体" w:hAnsi="楷体" w:eastAsia="楷体" w:cs="楷体"/>
          <w:color w:val="000000"/>
          <w:kern w:val="0"/>
          <w:sz w:val="32"/>
          <w:szCs w:val="32"/>
        </w:rPr>
      </w:pPr>
      <w:r>
        <w:rPr>
          <w:rFonts w:hint="eastAsia" w:ascii="楷体" w:hAnsi="楷体" w:eastAsia="楷体" w:cs="楷体"/>
          <w:color w:val="000000"/>
          <w:kern w:val="0"/>
          <w:sz w:val="32"/>
          <w:szCs w:val="32"/>
        </w:rPr>
        <w:t>本专业对应的就业方向和职业岗位（职业群），企业对学生能力方面要求分析结论</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计算机平面设计专业的就业方向主要包括广告设计、网页设计、游戏设计、动画制作、影视后期制作等多个方面。我们的必胜毕业生的就业方向以广告公司设计师为主，广告公司设计师占57.33%，广告公司业务员占8.67%，还有14%的毕业生选择自主创业，由此可见计算机平面设计专业的毕业生就业的第一选择是设计师岗位。</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调查中，有70%的用人单位认为毕业生在现场面试招聘和实习期间综合能力不够。因此，毕业生应在平时多注意对口头表达能力、思维反应及个人气质风度的培养，有机会的话参加一些相关的模拟实战训练，从衣着、谈吐等方面达到用人单位的基本要求。同时，我们真正跨进了以多媒体数字化为主要学习、工作、生活手段的信息时代，掌握计算机平面设计技术不仅是每个人的基本素质，也是今后谋生的重要技能，掌握有关计算机知识与技能会对提高毕业生的智力能力、促其成长与成才大有益处。因此，在当代企业中要，为自己的前途和发展作好必要的准备，专业能力的提升十分重要。</w:t>
      </w:r>
    </w:p>
    <w:p>
      <w:pPr>
        <w:numPr>
          <w:ilvl w:val="0"/>
          <w:numId w:val="2"/>
        </w:numPr>
        <w:snapToGrid w:val="0"/>
        <w:spacing w:line="560" w:lineRule="exact"/>
        <w:ind w:left="0"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本专业人才培养目标定位和培养规格结论</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通过调研，我们了解了企业、高校对平面专业人才的需求，这就要求我们培养德智体美劳全面发展，掌握扎实专业知识，具备必备的专业技术操作能力，具有工匠精神和信息素养，能够从事图形图像处理、计算机平面设计、广告设计与制作、包装设计与制作、网页美工等工作的技术技能人才。</w:t>
      </w:r>
    </w:p>
    <w:p>
      <w:pPr>
        <w:numPr>
          <w:ilvl w:val="0"/>
          <w:numId w:val="2"/>
        </w:numPr>
        <w:snapToGrid w:val="0"/>
        <w:spacing w:line="560" w:lineRule="exact"/>
        <w:ind w:left="0"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企业、学校和毕业生对课程设置和课程体系分析结论</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学校课程的设置对于培养学生的全面发展具有至关重要的作用。科学和合理的课程设置能够帮助学生获取知识和技能，培养他们的创造力和批判性思维能力，为他们的未来发展打下坚实的基础。通过调研，我校计算机平面设计专业课程设置相对较为合理，课程由简到难，循序渐进，课程设置全面完整。</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基础知识的掌握：课程应重视学生对基本学科知识的掌握，打下坚实的知识基础。比如素描是为学生培养造型能力，色彩培养学生的审美能力，Photoshop是培养学生软件操作能力。这三门课程在第一学期开设的目的是为以后专业课程的学习提供基础。</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能力培养的考虑：课程应关注学生的综合能力培养，如思维能力、创造力、实践能力等。比如图形创意、标志设计等一系列专业技能课程，结合基础课程进行创意训练，也是计算机平面设计专业必须具备的专业能力。</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跨学科的整合：现代教育强调跨学科的学习，因此课程设置应该有跨学科的整合。通过将相关的学科知识和技能串联起来，培养学生的综合能力。比如广告设计与制作，这门课程囊括了平面设计专业的多门课程，招贴设计、海报设计、书籍装帧、包装设计等课程的结合。</w:t>
      </w:r>
    </w:p>
    <w:p>
      <w:pPr>
        <w:snapToGrid w:val="0"/>
        <w:spacing w:line="560"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合理的课程设置应考虑到学生的年龄特点和兴趣需求，注重培养学生的学习动力和兴趣。</w:t>
      </w:r>
    </w:p>
    <w:p>
      <w:pPr>
        <w:numPr>
          <w:ilvl w:val="0"/>
          <w:numId w:val="2"/>
        </w:numPr>
        <w:snapToGrid w:val="0"/>
        <w:spacing w:line="560" w:lineRule="exact"/>
        <w:ind w:left="0"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在深化教学改革方面的分析</w:t>
      </w:r>
    </w:p>
    <w:p>
      <w:pPr>
        <w:snapToGrid w:val="0"/>
        <w:spacing w:line="560" w:lineRule="exact"/>
        <w:ind w:firstLine="640" w:firstLineChars="200"/>
        <w:rPr>
          <w:rFonts w:ascii="楷体" w:hAnsi="楷体" w:eastAsia="楷体" w:cs="楷体"/>
          <w:b/>
          <w:bCs/>
          <w:color w:val="000000"/>
          <w:kern w:val="0"/>
          <w:sz w:val="32"/>
          <w:szCs w:val="32"/>
        </w:rPr>
      </w:pPr>
      <w:r>
        <w:rPr>
          <w:rFonts w:hint="eastAsia" w:ascii="仿宋_GB2312" w:hAnsi="仿宋_GB2312" w:eastAsia="仿宋_GB2312" w:cs="仿宋_GB2312"/>
          <w:color w:val="000000"/>
          <w:kern w:val="0"/>
          <w:sz w:val="32"/>
          <w:szCs w:val="32"/>
        </w:rPr>
        <w:t>在学校调研中，我们与相关专业的教师对教学改革进行讨论和分析。深化教学改革是教育事业发展的必然要求，教育是社会进步的基石，教学改革则是教育进步的关键。随着时代的发展和社会的变迁，传统的教学模式已经无法满足现代学生的需求。因此，深化教学改革成为当今教育界的重要议题。特别是教学内容的创新，教学内容是教学改革的核心。传统的教学内容往往过于僵化，缺乏灵活性和实用性。为了适应时代的要求，我们需要创新教学内容，使其与现实生活紧密结合。计算机平面设计专业更需要不断更新，各实训课程项目需要结合时事进行更新。</w:t>
      </w:r>
    </w:p>
    <w:p>
      <w:pPr>
        <w:numPr>
          <w:ilvl w:val="0"/>
          <w:numId w:val="2"/>
        </w:numPr>
        <w:snapToGrid w:val="0"/>
        <w:spacing w:line="560" w:lineRule="exact"/>
        <w:ind w:left="0" w:firstLine="640" w:firstLineChars="200"/>
        <w:outlineLvl w:val="9"/>
        <w:rPr>
          <w:rFonts w:ascii="楷体" w:hAnsi="楷体" w:eastAsia="楷体" w:cs="楷体"/>
          <w:color w:val="000000"/>
          <w:kern w:val="0"/>
          <w:sz w:val="32"/>
          <w:szCs w:val="32"/>
        </w:rPr>
      </w:pPr>
      <w:r>
        <w:rPr>
          <w:rFonts w:hint="eastAsia" w:ascii="楷体" w:hAnsi="楷体" w:eastAsia="楷体" w:cs="楷体"/>
          <w:color w:val="000000"/>
          <w:kern w:val="0"/>
          <w:sz w:val="32"/>
          <w:szCs w:val="32"/>
        </w:rPr>
        <w:t>在校企合作、产教融合，校企育人方面的分析</w:t>
      </w:r>
    </w:p>
    <w:p>
      <w:pPr>
        <w:snapToGrid w:val="0"/>
        <w:spacing w:line="560" w:lineRule="exact"/>
        <w:ind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各中职院校中平面设计专业的校企合作项目相对较少，较多依赖于学生实训实习。各专业教师每年至少一个月的企业实践，通过企业革新。</w:t>
      </w:r>
    </w:p>
    <w:p>
      <w:pPr>
        <w:snapToGrid w:val="0"/>
        <w:spacing w:line="560" w:lineRule="exact"/>
        <w:ind w:firstLine="960" w:firstLineChars="300"/>
        <w:outlineLvl w:val="9"/>
        <w:rPr>
          <w:rFonts w:hint="eastAsia" w:ascii="黑体" w:hAnsi="黑体" w:eastAsia="黑体" w:cs="黑体"/>
          <w:color w:val="000000"/>
          <w:kern w:val="0"/>
          <w:sz w:val="32"/>
          <w:szCs w:val="32"/>
          <w:lang w:val="en-US" w:eastAsia="zh-CN"/>
        </w:rPr>
      </w:pPr>
      <w:r>
        <w:rPr>
          <w:rFonts w:hint="eastAsia" w:ascii="黑体" w:hAnsi="黑体" w:eastAsia="黑体" w:cs="黑体"/>
          <w:color w:val="000000"/>
          <w:kern w:val="0"/>
          <w:sz w:val="32"/>
          <w:szCs w:val="32"/>
          <w:lang w:val="en-US" w:eastAsia="zh-CN"/>
        </w:rPr>
        <w:t>四、建议对策</w:t>
      </w:r>
    </w:p>
    <w:p>
      <w:pPr>
        <w:numPr>
          <w:numId w:val="0"/>
        </w:numPr>
        <w:snapToGrid w:val="0"/>
        <w:spacing w:line="560" w:lineRule="exact"/>
        <w:ind w:firstLine="640" w:firstLineChars="200"/>
        <w:rPr>
          <w:rFonts w:hint="eastAsia" w:ascii="楷体" w:hAnsi="楷体" w:eastAsia="楷体" w:cs="楷体"/>
          <w:color w:val="000000"/>
          <w:kern w:val="0"/>
          <w:sz w:val="32"/>
          <w:szCs w:val="32"/>
        </w:rPr>
      </w:pPr>
      <w:r>
        <w:rPr>
          <w:rFonts w:hint="eastAsia" w:ascii="楷体" w:hAnsi="楷体" w:eastAsia="楷体" w:cs="楷体"/>
          <w:color w:val="000000"/>
          <w:kern w:val="0"/>
          <w:sz w:val="32"/>
          <w:szCs w:val="32"/>
          <w:lang w:eastAsia="zh-CN"/>
        </w:rPr>
        <w:t>（</w:t>
      </w:r>
      <w:r>
        <w:rPr>
          <w:rFonts w:hint="eastAsia" w:ascii="楷体" w:hAnsi="楷体" w:eastAsia="楷体" w:cs="楷体"/>
          <w:color w:val="000000"/>
          <w:kern w:val="0"/>
          <w:sz w:val="32"/>
          <w:szCs w:val="32"/>
          <w:lang w:val="en-US" w:eastAsia="zh-CN"/>
        </w:rPr>
        <w:t>一）</w:t>
      </w:r>
      <w:r>
        <w:rPr>
          <w:rFonts w:hint="eastAsia" w:ascii="楷体" w:hAnsi="楷体" w:eastAsia="楷体" w:cs="楷体"/>
          <w:color w:val="000000"/>
          <w:kern w:val="0"/>
          <w:sz w:val="32"/>
          <w:szCs w:val="32"/>
        </w:rPr>
        <w:t>明确专业人才培养目标和规格</w:t>
      </w:r>
    </w:p>
    <w:p>
      <w:pPr>
        <w:pStyle w:val="4"/>
        <w:spacing w:line="560" w:lineRule="exact"/>
        <w:ind w:firstLine="64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专业培养德智体美劳全面发展，掌握扎实的科学文化基础和平面设计、摄影摄像技术、版式设计等专业知识，具备图形图像处理、广告制作、数码照片艺术处理、网页设计与制作等能力，具有工匠精神和信息素养，能够从事图形图像处理、计算机平面设计、广告设计与制作、包装设计与制作、网页美工等工作的技术技能人才。</w:t>
      </w:r>
    </w:p>
    <w:p>
      <w:pPr>
        <w:pStyle w:val="4"/>
        <w:spacing w:line="560" w:lineRule="exact"/>
        <w:ind w:firstLine="64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高水平专业群的建设要求，将人才培养格式调整得更为规范，课程框架做统一调整，主要以专业基础课程和专业核心课程的形式制订课程框架。根据本专业特点从素质、知识和能力，三个方面进行培养规格的制定和更新。</w:t>
      </w:r>
    </w:p>
    <w:p>
      <w:pPr>
        <w:pStyle w:val="4"/>
        <w:spacing w:line="560" w:lineRule="exact"/>
        <w:ind w:firstLine="640"/>
        <w:outlineLvl w:val="9"/>
        <w:rPr>
          <w:rFonts w:ascii="楷体" w:hAnsi="楷体" w:eastAsia="楷体" w:cs="楷体"/>
          <w:color w:val="000000"/>
          <w:sz w:val="32"/>
          <w:szCs w:val="32"/>
        </w:rPr>
      </w:pPr>
      <w:r>
        <w:rPr>
          <w:rFonts w:hint="eastAsia" w:ascii="楷体" w:hAnsi="楷体" w:eastAsia="楷体" w:cs="楷体"/>
          <w:color w:val="000000"/>
          <w:sz w:val="32"/>
          <w:szCs w:val="32"/>
        </w:rPr>
        <w:t>（二）优化课程设置</w:t>
      </w:r>
      <w:r>
        <w:rPr>
          <w:rFonts w:hint="eastAsia" w:ascii="楷体" w:hAnsi="楷体" w:eastAsia="楷体" w:cs="楷体"/>
          <w:color w:val="000000"/>
          <w:kern w:val="0"/>
          <w:sz w:val="32"/>
          <w:szCs w:val="32"/>
        </w:rPr>
        <w:t>、构建科学合理的专业课程体系</w:t>
      </w:r>
    </w:p>
    <w:p>
      <w:pPr>
        <w:spacing w:line="56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构建“以岗位能力为核心”的课程体系，将《美术基础课程》细化为《素描》、《构成基础》、《图形创意》、《图案设计》，根据市场调研分析和走访实习生的反馈，《构成基础》中的立体构成部分对平面的学生作用不大，结合企业专家、专业教师、学生领导的意见，同意暂停《构成基础》课程中所包含的立体构成部分，将平面构成和色彩构成课时分别增加1课时。</w:t>
      </w:r>
    </w:p>
    <w:p>
      <w:pPr>
        <w:spacing w:line="560" w:lineRule="exact"/>
        <w:ind w:firstLine="640" w:firstLineChars="200"/>
        <w:rPr>
          <w:rFonts w:ascii="仿宋_GB2312" w:hAnsi="仿宋_GB2312" w:eastAsia="仿宋_GB2312" w:cs="仿宋_GB2312"/>
          <w:kern w:val="28"/>
          <w:sz w:val="32"/>
          <w:szCs w:val="32"/>
        </w:rPr>
      </w:pPr>
      <w:r>
        <w:rPr>
          <w:rFonts w:hint="eastAsia" w:ascii="仿宋_GB2312" w:hAnsi="仿宋_GB2312" w:eastAsia="仿宋_GB2312" w:cs="仿宋_GB2312"/>
          <w:kern w:val="28"/>
          <w:sz w:val="32"/>
          <w:szCs w:val="32"/>
        </w:rPr>
        <w:t>2.开发“以岗位能力为核心”的理实一体化课程，专业实训课程的开发更应符合企业发展需求，根据调研情况进行调整革新。</w:t>
      </w:r>
    </w:p>
    <w:p>
      <w:pPr>
        <w:spacing w:line="560" w:lineRule="exact"/>
        <w:ind w:firstLine="640" w:firstLineChars="200"/>
        <w:rPr>
          <w:rFonts w:ascii="仿宋_GB2312" w:hAnsi="仿宋_GB2312" w:eastAsia="仿宋_GB2312" w:cs="仿宋_GB2312"/>
          <w:kern w:val="28"/>
          <w:sz w:val="32"/>
          <w:szCs w:val="32"/>
        </w:rPr>
      </w:pPr>
      <w:r>
        <w:rPr>
          <w:rFonts w:hint="eastAsia" w:ascii="仿宋_GB2312" w:hAnsi="仿宋_GB2312" w:eastAsia="仿宋_GB2312" w:cs="仿宋_GB2312"/>
          <w:kern w:val="28"/>
          <w:sz w:val="32"/>
          <w:szCs w:val="32"/>
        </w:rPr>
        <w:t>3.信息化课程教学资源建设，部门利用钉钉平台，进行教学信息化平台的建设，对课堂教学和实训教学会有很大的帮助和促进。</w:t>
      </w:r>
    </w:p>
    <w:p>
      <w:pPr>
        <w:spacing w:line="560" w:lineRule="exact"/>
        <w:ind w:firstLine="640" w:firstLineChars="200"/>
        <w:rPr>
          <w:rFonts w:ascii="仿宋_GB2312" w:hAnsi="仿宋_GB2312" w:eastAsia="仿宋_GB2312" w:cs="仿宋_GB2312"/>
          <w:kern w:val="28"/>
          <w:sz w:val="32"/>
          <w:szCs w:val="32"/>
        </w:rPr>
      </w:pPr>
      <w:r>
        <w:rPr>
          <w:rFonts w:hint="eastAsia" w:ascii="仿宋_GB2312" w:hAnsi="仿宋_GB2312" w:eastAsia="仿宋_GB2312" w:cs="仿宋_GB2312"/>
          <w:kern w:val="28"/>
          <w:sz w:val="32"/>
          <w:szCs w:val="32"/>
        </w:rPr>
        <w:t>4.为了产教融合项目的建设，课程设置需要修改和更新，在团队建设、课程教材研发、教学组织方式、学生综合评价、教学教改项目等方面都需要进行深入合作与探索。</w:t>
      </w:r>
    </w:p>
    <w:p>
      <w:pPr>
        <w:spacing w:line="560" w:lineRule="exact"/>
        <w:ind w:firstLine="562"/>
        <w:jc w:val="left"/>
        <w:outlineLvl w:val="9"/>
        <w:rPr>
          <w:rFonts w:ascii="楷体" w:hAnsi="楷体" w:eastAsia="楷体" w:cs="楷体"/>
          <w:bCs/>
          <w:kern w:val="28"/>
          <w:sz w:val="32"/>
          <w:szCs w:val="32"/>
        </w:rPr>
      </w:pPr>
      <w:bookmarkStart w:id="33" w:name="_Toc352654076"/>
      <w:bookmarkStart w:id="34" w:name="_Toc352653671"/>
      <w:r>
        <w:rPr>
          <w:rFonts w:hint="eastAsia" w:ascii="楷体" w:hAnsi="楷体" w:eastAsia="楷体" w:cs="楷体"/>
          <w:bCs/>
          <w:kern w:val="28"/>
          <w:sz w:val="32"/>
          <w:szCs w:val="32"/>
        </w:rPr>
        <w:t>（三）</w:t>
      </w:r>
      <w:bookmarkEnd w:id="33"/>
      <w:bookmarkEnd w:id="34"/>
      <w:r>
        <w:rPr>
          <w:rFonts w:hint="eastAsia" w:ascii="楷体" w:hAnsi="楷体" w:eastAsia="楷体" w:cs="楷体"/>
          <w:bCs/>
          <w:kern w:val="28"/>
          <w:sz w:val="32"/>
          <w:szCs w:val="32"/>
        </w:rPr>
        <w:t>加强教师队伍建设</w:t>
      </w:r>
    </w:p>
    <w:p>
      <w:pPr>
        <w:spacing w:line="560" w:lineRule="exact"/>
        <w:ind w:firstLine="640" w:firstLineChars="200"/>
        <w:rPr>
          <w:rFonts w:ascii="仿宋_GB2312" w:hAnsi="仿宋_GB2312" w:eastAsia="仿宋_GB2312" w:cs="仿宋_GB2312"/>
          <w:kern w:val="28"/>
          <w:sz w:val="32"/>
          <w:szCs w:val="32"/>
        </w:rPr>
      </w:pPr>
      <w:r>
        <w:rPr>
          <w:rFonts w:hint="eastAsia" w:ascii="仿宋_GB2312" w:hAnsi="仿宋_GB2312" w:eastAsia="仿宋_GB2312" w:cs="仿宋_GB2312"/>
          <w:kern w:val="28"/>
          <w:sz w:val="32"/>
          <w:szCs w:val="32"/>
        </w:rPr>
        <w:t>教师是教育事业的核心力量，加强教师队伍建设是提高教育教学质量的关键。</w:t>
      </w:r>
    </w:p>
    <w:p>
      <w:pPr>
        <w:spacing w:line="560" w:lineRule="exact"/>
        <w:ind w:firstLine="640" w:firstLineChars="200"/>
      </w:pPr>
      <w:r>
        <w:rPr>
          <w:rFonts w:hint="eastAsia" w:ascii="仿宋_GB2312" w:hAnsi="仿宋_GB2312" w:eastAsia="仿宋_GB2312" w:cs="仿宋_GB2312"/>
          <w:kern w:val="28"/>
          <w:sz w:val="32"/>
          <w:szCs w:val="32"/>
        </w:rPr>
        <w:t>加强教师队伍建设，提高师资力量需要多方面的努力和措施。从招聘与选拔、教师培训、实践与反思、交流与合作到激励与评价，以及学校文化和教师职业道德等方面，都需要我们关注并采取相应的措施。只有不断加强教师队伍建设，才能推动教育事业持续发展，提高教育教学质量。</w:t>
      </w:r>
    </w:p>
    <w:p>
      <w:pPr>
        <w:spacing w:line="560" w:lineRule="exact"/>
        <w:ind w:firstLine="640" w:firstLineChars="200"/>
        <w:outlineLvl w:val="9"/>
        <w:rPr>
          <w:rFonts w:ascii="楷体" w:hAnsi="楷体" w:eastAsia="楷体" w:cs="楷体"/>
          <w:bCs/>
          <w:kern w:val="28"/>
          <w:sz w:val="32"/>
          <w:szCs w:val="32"/>
        </w:rPr>
      </w:pPr>
      <w:r>
        <w:rPr>
          <w:rFonts w:hint="eastAsia" w:ascii="楷体" w:hAnsi="楷体" w:eastAsia="楷体" w:cs="楷体"/>
          <w:bCs/>
          <w:kern w:val="28"/>
          <w:sz w:val="32"/>
          <w:szCs w:val="32"/>
        </w:rPr>
        <w:t>（四）改革教学方法，创新教学模式</w:t>
      </w:r>
    </w:p>
    <w:p>
      <w:pPr>
        <w:spacing w:line="360" w:lineRule="auto"/>
        <w:ind w:firstLine="640" w:firstLineChars="200"/>
        <w:rPr>
          <w:rFonts w:ascii="楷体" w:hAnsi="楷体" w:eastAsia="楷体" w:cs="楷体"/>
          <w:bCs/>
          <w:kern w:val="28"/>
          <w:sz w:val="32"/>
          <w:szCs w:val="32"/>
        </w:rPr>
      </w:pPr>
      <w:r>
        <w:rPr>
          <w:rFonts w:hint="eastAsia" w:ascii="仿宋_GB2312" w:hAnsi="仿宋_GB2312" w:eastAsia="仿宋_GB2312" w:cs="仿宋_GB2312"/>
          <w:color w:val="000000"/>
          <w:kern w:val="0"/>
          <w:sz w:val="32"/>
          <w:szCs w:val="32"/>
        </w:rPr>
        <w:t>教学方法是教学改革的重要方面。传统的教学方法往往以教师为中心，学生被动接受知识。而现代教学方法则倡导以学生为主体，教师充当引导者的角色。例如，采用小组合作学习的方式，让学生在合作中互相学习、互相促进；采用情景教学的方式，让学生在真实的情境中学习。</w:t>
      </w:r>
    </w:p>
    <w:p>
      <w:pPr>
        <w:numPr>
          <w:ilvl w:val="0"/>
          <w:numId w:val="3"/>
        </w:numPr>
        <w:spacing w:line="560" w:lineRule="exact"/>
        <w:ind w:firstLine="640" w:firstLineChars="200"/>
        <w:outlineLvl w:val="9"/>
        <w:rPr>
          <w:rFonts w:ascii="楷体" w:hAnsi="楷体" w:eastAsia="楷体" w:cs="楷体"/>
          <w:bCs/>
          <w:kern w:val="28"/>
          <w:sz w:val="32"/>
          <w:szCs w:val="32"/>
        </w:rPr>
      </w:pPr>
      <w:r>
        <w:rPr>
          <w:rFonts w:hint="eastAsia" w:ascii="楷体" w:hAnsi="楷体" w:eastAsia="楷体" w:cs="楷体"/>
          <w:bCs/>
          <w:kern w:val="28"/>
          <w:sz w:val="32"/>
          <w:szCs w:val="32"/>
        </w:rPr>
        <w:t>完善教学质量评价体系</w:t>
      </w:r>
    </w:p>
    <w:p>
      <w:pPr>
        <w:spacing w:line="360" w:lineRule="auto"/>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评价体系是教学改革的重要保障。传统的评价体系往往以考试成绩为唯一标准，忽视了学生的综合素质和创新能力。而现代评价体系则倡导以多元化评价为基础，注重学生的全面发展。例如，可以引入学生自主评价和同伴评价的机制，让学生更好地认识自己的优势和不足；可以引入项目评价和实践评价的方式，让学生在实际操作中展示自己的能力。通过创新评价体系，我们可以激发学生的积极性和创造性，培养他们的自我认知和自我管理能力。</w:t>
      </w:r>
    </w:p>
    <w:p>
      <w:pPr>
        <w:pStyle w:val="4"/>
        <w:numPr>
          <w:ilvl w:val="0"/>
          <w:numId w:val="3"/>
        </w:numPr>
        <w:spacing w:line="560" w:lineRule="exact"/>
        <w:ind w:firstLine="640"/>
        <w:outlineLvl w:val="9"/>
        <w:rPr>
          <w:rFonts w:ascii="楷体" w:hAnsi="楷体" w:eastAsia="楷体" w:cs="楷体"/>
          <w:bCs/>
          <w:color w:val="000000"/>
          <w:sz w:val="32"/>
          <w:szCs w:val="32"/>
        </w:rPr>
      </w:pPr>
      <w:r>
        <w:rPr>
          <w:rFonts w:hint="eastAsia" w:ascii="楷体" w:hAnsi="楷体" w:eastAsia="楷体" w:cs="楷体"/>
          <w:bCs/>
          <w:color w:val="000000"/>
          <w:sz w:val="32"/>
          <w:szCs w:val="32"/>
        </w:rPr>
        <w:t>创新人才培养模式</w:t>
      </w:r>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1.引企入校，校企双主体育人。我校计算机平面设计专业与</w:t>
      </w:r>
      <w:bookmarkStart w:id="35" w:name="_Hlk131065234"/>
      <w:r>
        <w:rPr>
          <w:rFonts w:hint="eastAsia" w:ascii="仿宋_GB2312" w:hAnsi="仿宋_GB2312" w:eastAsia="仿宋_GB2312" w:cs="仿宋_GB2312"/>
          <w:color w:val="000000"/>
          <w:sz w:val="32"/>
          <w:szCs w:val="32"/>
        </w:rPr>
        <w:t>威海弘宇蓝图文化传媒有限公司、威海智慧谷信息科技有限公司校企产教融合育人项目正在进行洽谈中。</w:t>
      </w:r>
      <w:r>
        <w:rPr>
          <w:rFonts w:hint="eastAsia" w:ascii="仿宋_GB2312" w:hAnsi="仿宋_GB2312" w:eastAsia="仿宋_GB2312" w:cs="仿宋_GB2312"/>
          <w:spacing w:val="-7"/>
          <w:sz w:val="32"/>
          <w:szCs w:val="32"/>
        </w:rPr>
        <w:t>本着优势互补、共建共赢、合作发展原则，也为专业发展的需要和创新人才的培养，校企合作势在必行。合作达成后，我们将进行人才培养方案的修订和教材的编写，</w:t>
      </w:r>
      <w:r>
        <w:rPr>
          <w:rFonts w:hint="eastAsia" w:ascii="仿宋_GB2312" w:hAnsi="仿宋_GB2312" w:eastAsia="仿宋_GB2312" w:cs="仿宋_GB2312"/>
          <w:sz w:val="32"/>
          <w:szCs w:val="32"/>
        </w:rPr>
        <w:t>开展合作共同培养人才。</w:t>
      </w:r>
      <w:bookmarkEnd w:id="35"/>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2.岗课赛证融通育人</w:t>
      </w:r>
    </w:p>
    <w:p>
      <w:pPr>
        <w:pStyle w:val="4"/>
        <w:spacing w:line="560" w:lineRule="exact"/>
        <w:ind w:firstLine="64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岗课赛证融通育人模式，是一种新型的教育模式，其核心理念是将课堂教育与实践操作相结合，通过比赛和考证的方式，提升学生的职业技能和素质，实现人才培养与就业岗位的紧密对接。</w:t>
      </w:r>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ascii="仿宋_GB2312" w:hAnsi="仿宋_GB2312" w:eastAsia="仿宋_GB2312" w:cs="仿宋_GB2312"/>
          <w:color w:val="000000"/>
          <w:sz w:val="32"/>
          <w:szCs w:val="32"/>
        </w:rPr>
        <w:t>强化实践操作：通过实际操作，让学生更好地理解和掌握专业知识，提高学生的实践能力。</w:t>
      </w:r>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ascii="仿宋_GB2312" w:hAnsi="仿宋_GB2312" w:eastAsia="仿宋_GB2312" w:cs="仿宋_GB2312"/>
          <w:color w:val="000000"/>
          <w:sz w:val="32"/>
          <w:szCs w:val="32"/>
        </w:rPr>
        <w:t>以赛促学：通过参加各类比赛，激发学生的学习兴趣，提高学生的学习效果。</w:t>
      </w:r>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ascii="仿宋_GB2312" w:hAnsi="仿宋_GB2312" w:eastAsia="仿宋_GB2312" w:cs="仿宋_GB2312"/>
          <w:color w:val="000000"/>
          <w:sz w:val="32"/>
          <w:szCs w:val="32"/>
        </w:rPr>
        <w:t>以证促学：通过考证，促使学生系统学习和掌握相关知识，提高学生的专业素质。</w:t>
      </w:r>
    </w:p>
    <w:p>
      <w:pPr>
        <w:pStyle w:val="4"/>
        <w:spacing w:line="56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ascii="仿宋_GB2312" w:hAnsi="仿宋_GB2312" w:eastAsia="仿宋_GB2312" w:cs="仿宋_GB2312"/>
          <w:color w:val="000000"/>
          <w:sz w:val="32"/>
          <w:szCs w:val="32"/>
        </w:rPr>
        <w:t>紧密对接就业：通过岗课赛证融通，实现人才培养与就业岗位的紧密对接，提高学生的就业竞争力。</w:t>
      </w:r>
    </w:p>
    <w:p>
      <w:pPr>
        <w:pStyle w:val="4"/>
        <w:spacing w:line="560" w:lineRule="exact"/>
        <w:ind w:firstLine="640"/>
        <w:outlineLvl w:val="9"/>
        <w:rPr>
          <w:rFonts w:ascii="楷体" w:hAnsi="楷体" w:eastAsia="楷体" w:cs="楷体"/>
          <w:color w:val="000000"/>
          <w:sz w:val="32"/>
          <w:szCs w:val="32"/>
        </w:rPr>
      </w:pPr>
      <w:r>
        <w:rPr>
          <w:rFonts w:hint="eastAsia" w:ascii="楷体" w:hAnsi="楷体" w:eastAsia="楷体" w:cs="楷体"/>
          <w:color w:val="000000"/>
          <w:sz w:val="32"/>
          <w:szCs w:val="32"/>
        </w:rPr>
        <w:t>（七）加强实习实训教学，提升学生实践能力</w:t>
      </w:r>
    </w:p>
    <w:p>
      <w:pPr>
        <w:pStyle w:val="4"/>
        <w:spacing w:line="560" w:lineRule="exact"/>
        <w:ind w:firstLine="64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实训教学有利于中职技能型人才培养的提高，有利于加强综合职业能力人才对社会的适应性。通过实训，一方面让师生更清楚地了解到当今社会人才素质的需求方向以及发展趋势，另一方面也使学生能迅速地把课堂上的理论知识与实际应用结合起来，增强了学生的动手能力，使所学知识消化得快、掌握得牢。</w:t>
      </w:r>
    </w:p>
    <w:p>
      <w:pPr>
        <w:pStyle w:val="4"/>
        <w:spacing w:line="560" w:lineRule="exact"/>
        <w:ind w:firstLine="640"/>
        <w:rPr>
          <w:rFonts w:ascii="仿宋_GB2312" w:hAnsi="仿宋_GB2312" w:eastAsia="仿宋_GB2312" w:cs="仿宋_GB2312"/>
          <w:color w:val="000000"/>
          <w:sz w:val="32"/>
          <w:szCs w:val="32"/>
        </w:rPr>
      </w:pPr>
      <w:r>
        <w:rPr>
          <w:rFonts w:ascii="仿宋_GB2312" w:hAnsi="仿宋_GB2312" w:eastAsia="仿宋_GB2312" w:cs="仿宋_GB2312"/>
          <w:color w:val="000000"/>
          <w:sz w:val="32"/>
          <w:szCs w:val="32"/>
        </w:rPr>
        <w:t>实训教学有利于中职教学改革的进一步深化</w:t>
      </w:r>
      <w:r>
        <w:rPr>
          <w:rFonts w:hint="eastAsia" w:ascii="仿宋_GB2312" w:hAnsi="仿宋_GB2312" w:eastAsia="仿宋_GB2312" w:cs="仿宋_GB2312"/>
          <w:color w:val="000000"/>
          <w:sz w:val="32"/>
          <w:szCs w:val="32"/>
        </w:rPr>
        <w:t>，</w:t>
      </w:r>
      <w:r>
        <w:rPr>
          <w:rFonts w:ascii="仿宋_GB2312" w:hAnsi="仿宋_GB2312" w:eastAsia="仿宋_GB2312" w:cs="仿宋_GB2312"/>
          <w:color w:val="000000"/>
          <w:sz w:val="32"/>
          <w:szCs w:val="32"/>
        </w:rPr>
        <w:t>有利于创新精神与创造能力的培养。通过实训教学，可以极大地增强学生的学习</w:t>
      </w:r>
      <w:r>
        <w:rPr>
          <w:rFonts w:hint="eastAsia" w:ascii="仿宋_GB2312" w:hAnsi="仿宋_GB2312" w:eastAsia="仿宋_GB2312" w:cs="仿宋_GB2312"/>
          <w:color w:val="000000"/>
          <w:sz w:val="32"/>
          <w:szCs w:val="32"/>
        </w:rPr>
        <w:t>兴</w:t>
      </w:r>
      <w:r>
        <w:rPr>
          <w:rFonts w:ascii="仿宋_GB2312" w:hAnsi="仿宋_GB2312" w:eastAsia="仿宋_GB2312" w:cs="仿宋_GB2312"/>
          <w:color w:val="000000"/>
          <w:sz w:val="32"/>
          <w:szCs w:val="32"/>
        </w:rPr>
        <w:t>趣，在不间断的实践中发掘学生发现问题、分析问题、解决问题的能力，使学生综合运用所学知识动手解决实际问题的能力得以加强。</w:t>
      </w:r>
    </w:p>
    <w:p>
      <w:pPr>
        <w:pStyle w:val="4"/>
        <w:spacing w:line="560" w:lineRule="exact"/>
        <w:ind w:firstLine="640"/>
        <w:outlineLvl w:val="9"/>
        <w:rPr>
          <w:rFonts w:ascii="楷体" w:hAnsi="楷体" w:eastAsia="楷体" w:cs="楷体"/>
          <w:color w:val="000000"/>
          <w:sz w:val="32"/>
          <w:szCs w:val="32"/>
        </w:rPr>
      </w:pPr>
      <w:r>
        <w:rPr>
          <w:rFonts w:hint="eastAsia" w:ascii="楷体" w:hAnsi="楷体" w:eastAsia="楷体" w:cs="楷体"/>
          <w:color w:val="000000"/>
          <w:sz w:val="32"/>
          <w:szCs w:val="32"/>
        </w:rPr>
        <w:t>（八）加强就业指导和创新创业教育</w:t>
      </w:r>
    </w:p>
    <w:p>
      <w:pPr>
        <w:pStyle w:val="4"/>
        <w:spacing w:line="560" w:lineRule="exact"/>
        <w:ind w:firstLine="640"/>
        <w:rPr>
          <w:rFonts w:ascii="楷体" w:hAnsi="楷体" w:eastAsia="楷体" w:cs="楷体"/>
          <w:color w:val="000000"/>
          <w:sz w:val="32"/>
          <w:szCs w:val="32"/>
        </w:rPr>
      </w:pPr>
      <w:r>
        <w:rPr>
          <w:rFonts w:hint="eastAsia" w:ascii="仿宋_GB2312" w:hAnsi="仿宋_GB2312" w:eastAsia="仿宋_GB2312" w:cs="仿宋_GB2312"/>
          <w:color w:val="000000"/>
          <w:sz w:val="32"/>
          <w:szCs w:val="32"/>
        </w:rPr>
        <w:t>对毕业生的就业指导也是我们作为中职学校教师的任务，专业对口工作对学生将来的发展极其重要，鼓励学生进行创新创业也是现阶段社会的趋势，计算机平面设计专业就业前景乐观，应该鼓励学生积极尝试，勇敢创新。</w:t>
      </w:r>
    </w:p>
    <w:p>
      <w:pPr>
        <w:pStyle w:val="4"/>
        <w:spacing w:line="560" w:lineRule="exact"/>
        <w:ind w:left="420" w:leftChars="200" w:firstLine="0" w:firstLineChars="0"/>
        <w:rPr>
          <w:rFonts w:ascii="楷体" w:hAnsi="楷体" w:eastAsia="楷体" w:cs="楷体"/>
          <w:color w:val="000000"/>
          <w:sz w:val="32"/>
          <w:szCs w:val="32"/>
        </w:rPr>
      </w:pPr>
    </w:p>
    <w:p>
      <w:pPr>
        <w:pStyle w:val="4"/>
        <w:spacing w:line="560" w:lineRule="exact"/>
        <w:ind w:firstLine="640"/>
        <w:rPr>
          <w:rFonts w:ascii="仿宋_GB2312" w:hAnsi="仿宋_GB2312" w:eastAsia="仿宋_GB2312" w:cs="仿宋_GB2312"/>
          <w:color w:val="000000"/>
          <w:sz w:val="28"/>
          <w:szCs w:val="28"/>
        </w:rPr>
      </w:pPr>
      <w:r>
        <w:rPr>
          <w:rFonts w:hint="eastAsia" w:ascii="仿宋_GB2312" w:hAnsi="仿宋_GB2312" w:eastAsia="仿宋_GB2312" w:cs="仿宋_GB2312"/>
          <w:color w:val="000000"/>
          <w:sz w:val="32"/>
          <w:szCs w:val="32"/>
        </w:rPr>
        <w:t xml:space="preserve">附件：计算机平面设计专业典型工作任务和职业能力分析           </w:t>
      </w:r>
    </w:p>
    <w:p>
      <w:pPr>
        <w:adjustRightInd w:val="0"/>
        <w:snapToGrid w:val="0"/>
        <w:spacing w:line="580" w:lineRule="exact"/>
        <w:rPr>
          <w:rFonts w:ascii="仿宋_GB2312" w:hAnsi="仿宋_GB2312" w:eastAsia="仿宋_GB2312" w:cs="仿宋_GB2312"/>
          <w:kern w:val="0"/>
          <w:sz w:val="32"/>
          <w:szCs w:val="32"/>
        </w:rPr>
      </w:pPr>
    </w:p>
    <w:p>
      <w:pPr>
        <w:adjustRightInd w:val="0"/>
        <w:snapToGrid w:val="0"/>
        <w:spacing w:line="580"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p>
    <w:p>
      <w:pPr>
        <w:adjustRightInd w:val="0"/>
        <w:snapToGrid w:val="0"/>
        <w:spacing w:line="580" w:lineRule="exact"/>
        <w:jc w:val="center"/>
        <w:outlineLvl w:val="9"/>
        <w:rPr>
          <w:rFonts w:ascii="方正小标宋简体" w:hAnsi="方正小标宋简体" w:eastAsia="方正小标宋简体" w:cs="方正小标宋_GBK"/>
          <w:kern w:val="0"/>
          <w:sz w:val="36"/>
          <w:szCs w:val="36"/>
        </w:rPr>
      </w:pPr>
      <w:r>
        <w:rPr>
          <w:rFonts w:hint="eastAsia" w:ascii="方正小标宋简体" w:hAnsi="方正小标宋简体" w:eastAsia="方正小标宋简体" w:cs="方正小标宋_GBK"/>
          <w:kern w:val="0"/>
          <w:sz w:val="36"/>
          <w:szCs w:val="36"/>
        </w:rPr>
        <w:t>计算机平面设计专业典型工作任务和职业能力分析</w:t>
      </w:r>
    </w:p>
    <w:p>
      <w:pPr>
        <w:pStyle w:val="30"/>
        <w:widowControl/>
        <w:jc w:val="center"/>
        <w:rPr>
          <w:rFonts w:ascii="宋体" w:hAnsi="宋体" w:cs="宋体"/>
          <w:kern w:val="0"/>
          <w:sz w:val="21"/>
          <w:szCs w:val="21"/>
        </w:rPr>
      </w:pP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1896"/>
        <w:gridCol w:w="5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3" w:type="pct"/>
            <w:tcBorders>
              <w:top w:val="single" w:color="auto" w:sz="4" w:space="0"/>
              <w:left w:val="single" w:color="auto" w:sz="4" w:space="0"/>
              <w:bottom w:val="single" w:color="auto" w:sz="4" w:space="0"/>
              <w:right w:val="single" w:color="auto" w:sz="4" w:space="0"/>
            </w:tcBorders>
            <w:vAlign w:val="center"/>
          </w:tcPr>
          <w:p>
            <w:pPr>
              <w:pStyle w:val="30"/>
              <w:widowControl/>
              <w:spacing w:line="400" w:lineRule="atLeast"/>
              <w:jc w:val="center"/>
              <w:rPr>
                <w:rFonts w:ascii="黑体" w:hAnsi="黑体" w:eastAsia="黑体" w:cs="黑体"/>
                <w:kern w:val="0"/>
              </w:rPr>
            </w:pPr>
            <w:r>
              <w:rPr>
                <w:rFonts w:hint="eastAsia" w:ascii="黑体" w:hAnsi="黑体" w:eastAsia="黑体" w:cs="黑体"/>
                <w:kern w:val="0"/>
              </w:rPr>
              <w:t>工作领域</w:t>
            </w:r>
          </w:p>
          <w:p>
            <w:pPr>
              <w:pStyle w:val="30"/>
              <w:widowControl/>
              <w:spacing w:line="400" w:lineRule="atLeast"/>
              <w:jc w:val="center"/>
              <w:rPr>
                <w:rFonts w:ascii="黑体" w:hAnsi="黑体" w:eastAsia="黑体" w:cs="黑体"/>
                <w:kern w:val="0"/>
              </w:rPr>
            </w:pPr>
            <w:r>
              <w:rPr>
                <w:rFonts w:hint="eastAsia" w:ascii="黑体" w:hAnsi="黑体" w:eastAsia="黑体" w:cs="黑体"/>
                <w:kern w:val="0"/>
              </w:rPr>
              <w:t>（</w:t>
            </w:r>
            <w:r>
              <w:rPr>
                <w:rFonts w:hint="eastAsia" w:ascii="黑体" w:hAnsi="黑体" w:eastAsia="黑体" w:cs="黑体"/>
                <w:kern w:val="0"/>
                <w:szCs w:val="32"/>
              </w:rPr>
              <w:t>岗位/岗位群</w:t>
            </w:r>
            <w:r>
              <w:rPr>
                <w:rFonts w:hint="eastAsia" w:ascii="黑体" w:hAnsi="黑体" w:eastAsia="黑体" w:cs="黑体"/>
                <w:kern w:val="0"/>
              </w:rPr>
              <w:t>）</w:t>
            </w:r>
          </w:p>
        </w:tc>
        <w:tc>
          <w:tcPr>
            <w:tcW w:w="1046" w:type="pct"/>
            <w:tcBorders>
              <w:top w:val="single" w:color="auto" w:sz="4" w:space="0"/>
              <w:left w:val="single" w:color="auto" w:sz="4" w:space="0"/>
              <w:bottom w:val="single" w:color="auto" w:sz="4" w:space="0"/>
              <w:right w:val="single" w:color="auto" w:sz="4" w:space="0"/>
            </w:tcBorders>
            <w:vAlign w:val="center"/>
          </w:tcPr>
          <w:p>
            <w:pPr>
              <w:pStyle w:val="30"/>
              <w:widowControl/>
              <w:spacing w:line="400" w:lineRule="atLeast"/>
              <w:jc w:val="center"/>
              <w:rPr>
                <w:rFonts w:ascii="黑体" w:hAnsi="黑体" w:eastAsia="黑体" w:cs="黑体"/>
                <w:kern w:val="0"/>
              </w:rPr>
            </w:pPr>
            <w:r>
              <w:rPr>
                <w:rFonts w:hint="eastAsia" w:ascii="黑体" w:hAnsi="黑体" w:eastAsia="黑体" w:cs="黑体"/>
                <w:kern w:val="0"/>
              </w:rPr>
              <w:t>典型工作任务</w:t>
            </w:r>
          </w:p>
        </w:tc>
        <w:tc>
          <w:tcPr>
            <w:tcW w:w="2799" w:type="pct"/>
            <w:tcBorders>
              <w:top w:val="single" w:color="auto" w:sz="4" w:space="0"/>
              <w:left w:val="single" w:color="auto" w:sz="4" w:space="0"/>
              <w:bottom w:val="single" w:color="auto" w:sz="4" w:space="0"/>
              <w:right w:val="single" w:color="auto" w:sz="4" w:space="0"/>
            </w:tcBorders>
            <w:vAlign w:val="center"/>
          </w:tcPr>
          <w:p>
            <w:pPr>
              <w:pStyle w:val="30"/>
              <w:widowControl/>
              <w:spacing w:line="400" w:lineRule="atLeast"/>
              <w:jc w:val="center"/>
              <w:rPr>
                <w:rFonts w:ascii="黑体" w:hAnsi="黑体" w:eastAsia="黑体" w:cs="黑体"/>
                <w:kern w:val="0"/>
              </w:rPr>
            </w:pPr>
            <w:r>
              <w:rPr>
                <w:rFonts w:hint="eastAsia" w:ascii="黑体" w:hAnsi="黑体" w:eastAsia="黑体" w:cs="黑体"/>
                <w:kern w:val="0"/>
              </w:rPr>
              <w:t>职业能力要求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 w:hRule="atLeast"/>
          <w:jc w:val="center"/>
        </w:trPr>
        <w:tc>
          <w:tcPr>
            <w:tcW w:w="1153" w:type="pct"/>
            <w:vMerge w:val="restar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广告公司设计师</w:t>
            </w:r>
          </w:p>
        </w:tc>
        <w:tc>
          <w:tcPr>
            <w:tcW w:w="1046"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ascii="仿宋_GB2312" w:hAnsi="仿宋_GB2312" w:eastAsia="仿宋_GB2312" w:cs="仿宋_GB2312"/>
                <w:kern w:val="0"/>
              </w:rPr>
              <w:t>数码照片艺术处理</w:t>
            </w:r>
          </w:p>
        </w:tc>
        <w:tc>
          <w:tcPr>
            <w:tcW w:w="2799"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1.能熟练的运用Photoshop软件操作</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2.能与客户的进行有效沟通</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3.有一定的实际工作经验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3" w:type="pct"/>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仿宋_GB2312" w:cs="仿宋_GB2312"/>
                <w:kern w:val="0"/>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ascii="仿宋_GB2312" w:hAnsi="仿宋_GB2312" w:eastAsia="仿宋_GB2312" w:cs="仿宋_GB2312"/>
                <w:kern w:val="0"/>
              </w:rPr>
              <w:t>广告</w:t>
            </w:r>
            <w:r>
              <w:rPr>
                <w:rFonts w:hint="eastAsia" w:ascii="仿宋_GB2312" w:hAnsi="仿宋_GB2312" w:eastAsia="仿宋_GB2312" w:cs="仿宋_GB2312"/>
                <w:kern w:val="0"/>
              </w:rPr>
              <w:t>设计</w:t>
            </w:r>
            <w:r>
              <w:rPr>
                <w:rFonts w:ascii="仿宋_GB2312" w:hAnsi="仿宋_GB2312" w:eastAsia="仿宋_GB2312" w:cs="仿宋_GB2312"/>
                <w:kern w:val="0"/>
              </w:rPr>
              <w:t>制作</w:t>
            </w:r>
          </w:p>
        </w:tc>
        <w:tc>
          <w:tcPr>
            <w:tcW w:w="2799"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1.能熟练的掌握相关软件操作</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2.有团队合作意识</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3.有很好的语言表达能力</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4.有作品的美学鉴定能力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jc w:val="center"/>
        </w:trPr>
        <w:tc>
          <w:tcPr>
            <w:tcW w:w="1153" w:type="pct"/>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仿宋_GB2312" w:cs="仿宋_GB2312"/>
                <w:kern w:val="0"/>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广告文案策划</w:t>
            </w:r>
          </w:p>
        </w:tc>
        <w:tc>
          <w:tcPr>
            <w:tcW w:w="2799"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1.能熟练的掌握相关软件操作</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2.能进行创意设计构想</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3.有一定的文学素养</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4.有团队合作意识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153" w:type="pct"/>
            <w:vMerge w:val="continue"/>
            <w:tcBorders>
              <w:top w:val="single" w:color="auto" w:sz="4" w:space="0"/>
              <w:left w:val="single" w:color="auto" w:sz="4" w:space="0"/>
              <w:bottom w:val="single" w:color="auto" w:sz="4" w:space="0"/>
              <w:right w:val="single" w:color="auto" w:sz="4" w:space="0"/>
            </w:tcBorders>
            <w:vAlign w:val="center"/>
          </w:tcPr>
          <w:p>
            <w:pPr>
              <w:rPr>
                <w:rFonts w:ascii="仿宋_GB2312" w:hAnsi="仿宋_GB2312" w:cs="仿宋_GB2312"/>
                <w:kern w:val="0"/>
                <w:sz w:val="24"/>
              </w:rPr>
            </w:pPr>
          </w:p>
        </w:tc>
        <w:tc>
          <w:tcPr>
            <w:tcW w:w="1046"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视频剪辑师</w:t>
            </w:r>
          </w:p>
        </w:tc>
        <w:tc>
          <w:tcPr>
            <w:tcW w:w="2799" w:type="pct"/>
            <w:tcBorders>
              <w:top w:val="single" w:color="auto" w:sz="4" w:space="0"/>
              <w:left w:val="single" w:color="auto" w:sz="4" w:space="0"/>
              <w:bottom w:val="single" w:color="auto" w:sz="4" w:space="0"/>
              <w:right w:val="single" w:color="auto" w:sz="4" w:space="0"/>
            </w:tcBorders>
            <w:vAlign w:val="center"/>
          </w:tcPr>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1.能熟练的掌握相关软件操作</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2.有强烈敏锐的感受能力</w:t>
            </w:r>
          </w:p>
          <w:p>
            <w:pPr>
              <w:pStyle w:val="30"/>
              <w:widowControl/>
              <w:rPr>
                <w:rFonts w:ascii="仿宋_GB2312" w:hAnsi="仿宋_GB2312" w:eastAsia="仿宋_GB2312" w:cs="仿宋_GB2312"/>
                <w:kern w:val="0"/>
              </w:rPr>
            </w:pPr>
            <w:r>
              <w:rPr>
                <w:rFonts w:hint="eastAsia" w:ascii="仿宋_GB2312" w:hAnsi="仿宋_GB2312" w:eastAsia="仿宋_GB2312" w:cs="仿宋_GB2312"/>
                <w:kern w:val="0"/>
              </w:rPr>
              <w:t>3.有团队合作意识</w:t>
            </w:r>
          </w:p>
        </w:tc>
      </w:tr>
    </w:tbl>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outlineLvl w:val="1"/>
        <w:rPr>
          <w:rFonts w:ascii="宋体" w:hAnsi="宋体" w:cs="宋体"/>
          <w:sz w:val="28"/>
          <w:szCs w:val="28"/>
        </w:rPr>
      </w:pPr>
      <w:bookmarkStart w:id="36" w:name="_Toc10604"/>
      <w:r>
        <w:rPr>
          <w:rFonts w:hint="eastAsia" w:ascii="宋体" w:hAnsi="宋体" w:cs="宋体"/>
          <w:sz w:val="24"/>
        </w:rPr>
        <w:t>附件2：</w:t>
      </w:r>
      <w:bookmarkEnd w:id="36"/>
      <w:r>
        <w:rPr>
          <w:rFonts w:hint="eastAsia" w:ascii="宋体" w:hAnsi="宋体" w:cs="宋体"/>
          <w:sz w:val="24"/>
        </w:rPr>
        <w:t xml:space="preserve"> </w:t>
      </w:r>
      <w:r>
        <w:rPr>
          <w:rFonts w:hint="eastAsia" w:ascii="宋体" w:hAnsi="宋体" w:cs="宋体"/>
          <w:sz w:val="28"/>
          <w:szCs w:val="28"/>
        </w:rPr>
        <w:t xml:space="preserve">   </w:t>
      </w:r>
    </w:p>
    <w:p>
      <w:pPr>
        <w:autoSpaceDE w:val="0"/>
        <w:autoSpaceDN w:val="0"/>
        <w:adjustRightInd w:val="0"/>
        <w:spacing w:line="520" w:lineRule="exact"/>
        <w:jc w:val="center"/>
        <w:outlineLvl w:val="9"/>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教学进程变更申请表</w:t>
      </w:r>
    </w:p>
    <w:p>
      <w:pPr>
        <w:autoSpaceDE w:val="0"/>
        <w:autoSpaceDN w:val="0"/>
        <w:adjustRightInd w:val="0"/>
        <w:spacing w:line="520" w:lineRule="exact"/>
        <w:ind w:firstLine="480" w:firstLineChars="200"/>
        <w:rPr>
          <w:rFonts w:ascii="宋体" w:hAnsi="宋体" w:cs="宋体"/>
          <w:sz w:val="24"/>
        </w:rPr>
      </w:pPr>
      <w:r>
        <w:rPr>
          <w:rFonts w:hint="eastAsia" w:ascii="宋体" w:hAnsi="宋体" w:cs="宋体"/>
          <w:sz w:val="24"/>
        </w:rPr>
        <w:t>教学部：                                      填报日期：</w:t>
      </w:r>
    </w:p>
    <w:tbl>
      <w:tblPr>
        <w:tblStyle w:val="17"/>
        <w:tblW w:w="92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256"/>
        <w:gridCol w:w="2033"/>
        <w:gridCol w:w="2433"/>
        <w:gridCol w:w="2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0" w:type="dxa"/>
            <w:gridSpan w:val="2"/>
          </w:tcPr>
          <w:p>
            <w:pPr>
              <w:autoSpaceDE w:val="0"/>
              <w:autoSpaceDN w:val="0"/>
              <w:adjustRightInd w:val="0"/>
              <w:spacing w:line="520" w:lineRule="exact"/>
              <w:jc w:val="center"/>
              <w:rPr>
                <w:rFonts w:ascii="宋体" w:hAnsi="宋体" w:cs="宋体"/>
                <w:sz w:val="24"/>
              </w:rPr>
            </w:pPr>
            <w:r>
              <w:rPr>
                <w:rFonts w:hint="eastAsia" w:ascii="宋体" w:hAnsi="宋体" w:cs="宋体"/>
                <w:sz w:val="24"/>
              </w:rPr>
              <w:t>课程名称</w:t>
            </w:r>
          </w:p>
        </w:tc>
        <w:tc>
          <w:tcPr>
            <w:tcW w:w="2033" w:type="dxa"/>
          </w:tcPr>
          <w:p>
            <w:pPr>
              <w:autoSpaceDE w:val="0"/>
              <w:autoSpaceDN w:val="0"/>
              <w:adjustRightInd w:val="0"/>
              <w:spacing w:line="520" w:lineRule="exact"/>
              <w:jc w:val="center"/>
              <w:rPr>
                <w:rFonts w:ascii="宋体" w:hAnsi="宋体" w:cs="宋体"/>
                <w:sz w:val="24"/>
              </w:rPr>
            </w:pPr>
            <w:r>
              <w:rPr>
                <w:rFonts w:hint="eastAsia" w:ascii="宋体" w:hAnsi="宋体" w:cs="宋体"/>
                <w:sz w:val="24"/>
              </w:rPr>
              <w:t>年级</w:t>
            </w:r>
          </w:p>
        </w:tc>
        <w:tc>
          <w:tcPr>
            <w:tcW w:w="2433" w:type="dxa"/>
          </w:tcPr>
          <w:p>
            <w:pPr>
              <w:autoSpaceDE w:val="0"/>
              <w:autoSpaceDN w:val="0"/>
              <w:adjustRightInd w:val="0"/>
              <w:spacing w:line="520" w:lineRule="exact"/>
              <w:jc w:val="center"/>
              <w:rPr>
                <w:rFonts w:ascii="宋体" w:hAnsi="宋体" w:cs="宋体"/>
                <w:sz w:val="24"/>
              </w:rPr>
            </w:pPr>
            <w:r>
              <w:rPr>
                <w:rFonts w:hint="eastAsia" w:ascii="宋体" w:hAnsi="宋体" w:cs="宋体"/>
                <w:sz w:val="24"/>
              </w:rPr>
              <w:t>专业班级</w:t>
            </w:r>
          </w:p>
        </w:tc>
        <w:tc>
          <w:tcPr>
            <w:tcW w:w="2355" w:type="dxa"/>
          </w:tcPr>
          <w:p>
            <w:pPr>
              <w:autoSpaceDE w:val="0"/>
              <w:autoSpaceDN w:val="0"/>
              <w:adjustRightInd w:val="0"/>
              <w:spacing w:line="520" w:lineRule="exact"/>
              <w:jc w:val="center"/>
              <w:rPr>
                <w:rFonts w:ascii="宋体" w:hAnsi="宋体" w:cs="宋体"/>
                <w:sz w:val="24"/>
              </w:rPr>
            </w:pPr>
            <w:r>
              <w:rPr>
                <w:rFonts w:hint="eastAsia" w:ascii="宋体" w:hAnsi="宋体" w:cs="宋体"/>
                <w:sz w:val="24"/>
              </w:rPr>
              <w:t>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0" w:type="dxa"/>
            <w:gridSpan w:val="2"/>
            <w:vMerge w:val="restart"/>
          </w:tcPr>
          <w:p>
            <w:pPr>
              <w:autoSpaceDE w:val="0"/>
              <w:autoSpaceDN w:val="0"/>
              <w:adjustRightInd w:val="0"/>
              <w:spacing w:line="520" w:lineRule="exact"/>
              <w:rPr>
                <w:rFonts w:ascii="宋体" w:hAnsi="宋体" w:cs="宋体"/>
                <w:sz w:val="24"/>
              </w:rPr>
            </w:pPr>
          </w:p>
        </w:tc>
        <w:tc>
          <w:tcPr>
            <w:tcW w:w="2033" w:type="dxa"/>
          </w:tcPr>
          <w:p>
            <w:pPr>
              <w:autoSpaceDE w:val="0"/>
              <w:autoSpaceDN w:val="0"/>
              <w:adjustRightInd w:val="0"/>
              <w:spacing w:line="520" w:lineRule="exact"/>
              <w:rPr>
                <w:rFonts w:ascii="宋体" w:hAnsi="宋体" w:cs="宋体"/>
                <w:sz w:val="24"/>
              </w:rPr>
            </w:pPr>
          </w:p>
        </w:tc>
        <w:tc>
          <w:tcPr>
            <w:tcW w:w="2433" w:type="dxa"/>
          </w:tcPr>
          <w:p>
            <w:pPr>
              <w:autoSpaceDE w:val="0"/>
              <w:autoSpaceDN w:val="0"/>
              <w:adjustRightInd w:val="0"/>
              <w:spacing w:line="520" w:lineRule="exact"/>
              <w:rPr>
                <w:rFonts w:ascii="宋体" w:hAnsi="宋体" w:cs="宋体"/>
                <w:sz w:val="24"/>
              </w:rPr>
            </w:pPr>
          </w:p>
        </w:tc>
        <w:tc>
          <w:tcPr>
            <w:tcW w:w="2355" w:type="dxa"/>
          </w:tcPr>
          <w:p>
            <w:pPr>
              <w:autoSpaceDE w:val="0"/>
              <w:autoSpaceDN w:val="0"/>
              <w:adjustRightInd w:val="0"/>
              <w:spacing w:line="52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50" w:type="dxa"/>
            <w:gridSpan w:val="2"/>
            <w:vMerge w:val="continue"/>
          </w:tcPr>
          <w:p>
            <w:pPr>
              <w:autoSpaceDE w:val="0"/>
              <w:autoSpaceDN w:val="0"/>
              <w:adjustRightInd w:val="0"/>
              <w:spacing w:line="520" w:lineRule="exact"/>
              <w:rPr>
                <w:rFonts w:ascii="宋体" w:hAnsi="宋体" w:cs="宋体"/>
                <w:sz w:val="24"/>
              </w:rPr>
            </w:pPr>
          </w:p>
        </w:tc>
        <w:tc>
          <w:tcPr>
            <w:tcW w:w="2033" w:type="dxa"/>
          </w:tcPr>
          <w:p>
            <w:pPr>
              <w:autoSpaceDE w:val="0"/>
              <w:autoSpaceDN w:val="0"/>
              <w:adjustRightInd w:val="0"/>
              <w:spacing w:line="520" w:lineRule="exact"/>
              <w:rPr>
                <w:rFonts w:ascii="宋体" w:hAnsi="宋体" w:cs="宋体"/>
                <w:sz w:val="24"/>
              </w:rPr>
            </w:pPr>
          </w:p>
        </w:tc>
        <w:tc>
          <w:tcPr>
            <w:tcW w:w="2433" w:type="dxa"/>
          </w:tcPr>
          <w:p>
            <w:pPr>
              <w:autoSpaceDE w:val="0"/>
              <w:autoSpaceDN w:val="0"/>
              <w:adjustRightInd w:val="0"/>
              <w:spacing w:line="520" w:lineRule="exact"/>
              <w:rPr>
                <w:rFonts w:ascii="宋体" w:hAnsi="宋体" w:cs="宋体"/>
                <w:sz w:val="24"/>
              </w:rPr>
            </w:pPr>
          </w:p>
        </w:tc>
        <w:tc>
          <w:tcPr>
            <w:tcW w:w="2355" w:type="dxa"/>
          </w:tcPr>
          <w:p>
            <w:pPr>
              <w:autoSpaceDE w:val="0"/>
              <w:autoSpaceDN w:val="0"/>
              <w:adjustRightInd w:val="0"/>
              <w:spacing w:line="52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3" w:type="dxa"/>
            <w:gridSpan w:val="3"/>
          </w:tcPr>
          <w:p>
            <w:pPr>
              <w:autoSpaceDE w:val="0"/>
              <w:autoSpaceDN w:val="0"/>
              <w:adjustRightInd w:val="0"/>
              <w:spacing w:line="520" w:lineRule="exact"/>
              <w:jc w:val="center"/>
              <w:rPr>
                <w:rFonts w:ascii="宋体" w:hAnsi="宋体" w:cs="宋体"/>
                <w:sz w:val="24"/>
              </w:rPr>
            </w:pPr>
            <w:r>
              <w:rPr>
                <w:rFonts w:hint="eastAsia" w:ascii="宋体" w:hAnsi="宋体" w:cs="宋体"/>
                <w:sz w:val="24"/>
              </w:rPr>
              <w:t>原计划内容、进程</w:t>
            </w:r>
          </w:p>
        </w:tc>
        <w:tc>
          <w:tcPr>
            <w:tcW w:w="4788" w:type="dxa"/>
            <w:gridSpan w:val="2"/>
          </w:tcPr>
          <w:p>
            <w:pPr>
              <w:autoSpaceDE w:val="0"/>
              <w:autoSpaceDN w:val="0"/>
              <w:adjustRightInd w:val="0"/>
              <w:spacing w:line="520" w:lineRule="exact"/>
              <w:jc w:val="center"/>
              <w:rPr>
                <w:rFonts w:ascii="宋体" w:hAnsi="宋体" w:cs="宋体"/>
                <w:sz w:val="24"/>
              </w:rPr>
            </w:pPr>
            <w:r>
              <w:rPr>
                <w:rFonts w:hint="eastAsia" w:ascii="宋体" w:hAnsi="宋体" w:cs="宋体"/>
                <w:sz w:val="24"/>
              </w:rPr>
              <w:t>变动后的内容、进程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483" w:type="dxa"/>
            <w:gridSpan w:val="3"/>
          </w:tcPr>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tc>
        <w:tc>
          <w:tcPr>
            <w:tcW w:w="4788" w:type="dxa"/>
            <w:gridSpan w:val="2"/>
          </w:tcPr>
          <w:p>
            <w:pPr>
              <w:autoSpaceDE w:val="0"/>
              <w:autoSpaceDN w:val="0"/>
              <w:adjustRightInd w:val="0"/>
              <w:spacing w:line="52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4" w:type="dxa"/>
            <w:vAlign w:val="center"/>
          </w:tcPr>
          <w:p>
            <w:pPr>
              <w:autoSpaceDE w:val="0"/>
              <w:autoSpaceDN w:val="0"/>
              <w:adjustRightInd w:val="0"/>
              <w:spacing w:line="520" w:lineRule="exact"/>
              <w:jc w:val="center"/>
              <w:rPr>
                <w:rFonts w:ascii="宋体" w:hAnsi="宋体" w:cs="宋体"/>
                <w:sz w:val="24"/>
              </w:rPr>
            </w:pPr>
            <w:r>
              <w:rPr>
                <w:rFonts w:hint="eastAsia" w:ascii="宋体" w:hAnsi="宋体" w:cs="宋体"/>
                <w:sz w:val="24"/>
              </w:rPr>
              <w:t>变动理由</w:t>
            </w:r>
          </w:p>
        </w:tc>
        <w:tc>
          <w:tcPr>
            <w:tcW w:w="8077" w:type="dxa"/>
            <w:gridSpan w:val="4"/>
          </w:tcPr>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r>
              <w:rPr>
                <w:rFonts w:hint="eastAsia" w:ascii="宋体" w:hAnsi="宋体" w:cs="宋体"/>
                <w:sz w:val="24"/>
              </w:rPr>
              <w:t xml:space="preserve">              专业负责人签字：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7" w:hRule="atLeast"/>
          <w:jc w:val="center"/>
        </w:trPr>
        <w:tc>
          <w:tcPr>
            <w:tcW w:w="1194" w:type="dxa"/>
            <w:vAlign w:val="center"/>
          </w:tcPr>
          <w:p>
            <w:pPr>
              <w:autoSpaceDE w:val="0"/>
              <w:autoSpaceDN w:val="0"/>
              <w:adjustRightInd w:val="0"/>
              <w:spacing w:line="520" w:lineRule="exact"/>
              <w:jc w:val="center"/>
              <w:rPr>
                <w:rFonts w:ascii="宋体" w:hAnsi="宋体" w:cs="宋体"/>
                <w:sz w:val="24"/>
              </w:rPr>
            </w:pPr>
            <w:r>
              <w:rPr>
                <w:rFonts w:hint="eastAsia" w:ascii="宋体" w:hAnsi="宋体" w:cs="宋体"/>
                <w:sz w:val="24"/>
              </w:rPr>
              <w:t>教学部</w:t>
            </w:r>
          </w:p>
          <w:p>
            <w:pPr>
              <w:autoSpaceDE w:val="0"/>
              <w:autoSpaceDN w:val="0"/>
              <w:adjustRightInd w:val="0"/>
              <w:spacing w:line="520" w:lineRule="exact"/>
              <w:jc w:val="center"/>
              <w:rPr>
                <w:rFonts w:ascii="宋体" w:hAnsi="宋体" w:cs="宋体"/>
                <w:sz w:val="24"/>
              </w:rPr>
            </w:pPr>
            <w:r>
              <w:rPr>
                <w:rFonts w:hint="eastAsia" w:ascii="宋体" w:hAnsi="宋体" w:cs="宋体"/>
                <w:sz w:val="24"/>
              </w:rPr>
              <w:t>意见</w:t>
            </w:r>
          </w:p>
        </w:tc>
        <w:tc>
          <w:tcPr>
            <w:tcW w:w="8077" w:type="dxa"/>
            <w:gridSpan w:val="4"/>
          </w:tcPr>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ind w:firstLine="1680" w:firstLineChars="700"/>
              <w:rPr>
                <w:rFonts w:ascii="宋体" w:hAnsi="宋体" w:cs="宋体"/>
                <w:sz w:val="24"/>
              </w:rPr>
            </w:pPr>
            <w:r>
              <w:rPr>
                <w:rFonts w:hint="eastAsia" w:ascii="宋体" w:hAnsi="宋体" w:cs="宋体"/>
                <w:sz w:val="24"/>
              </w:rPr>
              <w:t>负责人签字（盖章）：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0" w:hRule="atLeast"/>
          <w:jc w:val="center"/>
        </w:trPr>
        <w:tc>
          <w:tcPr>
            <w:tcW w:w="1194" w:type="dxa"/>
            <w:vAlign w:val="center"/>
          </w:tcPr>
          <w:p>
            <w:pPr>
              <w:autoSpaceDE w:val="0"/>
              <w:autoSpaceDN w:val="0"/>
              <w:adjustRightInd w:val="0"/>
              <w:spacing w:line="520" w:lineRule="exact"/>
              <w:jc w:val="center"/>
              <w:rPr>
                <w:rFonts w:ascii="宋体" w:hAnsi="宋体" w:cs="宋体"/>
                <w:sz w:val="24"/>
              </w:rPr>
            </w:pPr>
            <w:r>
              <w:rPr>
                <w:rFonts w:hint="eastAsia" w:ascii="宋体" w:hAnsi="宋体" w:cs="宋体"/>
                <w:sz w:val="24"/>
              </w:rPr>
              <w:t>教务处</w:t>
            </w:r>
          </w:p>
          <w:p>
            <w:pPr>
              <w:autoSpaceDE w:val="0"/>
              <w:autoSpaceDN w:val="0"/>
              <w:adjustRightInd w:val="0"/>
              <w:spacing w:line="520" w:lineRule="exact"/>
              <w:jc w:val="center"/>
              <w:rPr>
                <w:rFonts w:ascii="宋体" w:hAnsi="宋体" w:cs="宋体"/>
                <w:sz w:val="24"/>
              </w:rPr>
            </w:pPr>
            <w:r>
              <w:rPr>
                <w:rFonts w:hint="eastAsia" w:ascii="宋体" w:hAnsi="宋体" w:cs="宋体"/>
                <w:sz w:val="24"/>
              </w:rPr>
              <w:t>意见</w:t>
            </w:r>
          </w:p>
        </w:tc>
        <w:tc>
          <w:tcPr>
            <w:tcW w:w="8077" w:type="dxa"/>
            <w:gridSpan w:val="4"/>
          </w:tcPr>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rPr>
                <w:rFonts w:ascii="宋体" w:hAnsi="宋体" w:cs="宋体"/>
                <w:sz w:val="24"/>
              </w:rPr>
            </w:pPr>
          </w:p>
          <w:p>
            <w:pPr>
              <w:autoSpaceDE w:val="0"/>
              <w:autoSpaceDN w:val="0"/>
              <w:adjustRightInd w:val="0"/>
              <w:spacing w:line="520" w:lineRule="exact"/>
              <w:ind w:firstLine="1440" w:firstLineChars="600"/>
              <w:rPr>
                <w:rFonts w:ascii="宋体" w:hAnsi="宋体" w:cs="宋体"/>
                <w:sz w:val="24"/>
              </w:rPr>
            </w:pPr>
            <w:r>
              <w:rPr>
                <w:rFonts w:hint="eastAsia" w:ascii="宋体" w:hAnsi="宋体" w:cs="宋体"/>
                <w:sz w:val="24"/>
              </w:rPr>
              <w:t>负责人签字（盖章）：                    年   月    日</w:t>
            </w:r>
          </w:p>
        </w:tc>
      </w:tr>
    </w:tbl>
    <w:p>
      <w:pPr>
        <w:autoSpaceDE w:val="0"/>
        <w:autoSpaceDN w:val="0"/>
        <w:adjustRightInd w:val="0"/>
        <w:spacing w:line="520" w:lineRule="exact"/>
        <w:rPr>
          <w:rFonts w:ascii="方正小标宋简体" w:hAnsi="方正小标宋简体" w:eastAsia="方正小标宋简体" w:cs="方正小标宋简体"/>
          <w:sz w:val="32"/>
          <w:szCs w:val="32"/>
        </w:rPr>
      </w:pPr>
      <w:r>
        <w:rPr>
          <w:rFonts w:hint="eastAsia" w:ascii="宋体" w:hAnsi="宋体" w:cs="宋体"/>
          <w:sz w:val="24"/>
        </w:rPr>
        <w:t>备注：本表一式三份，教务处、教学部和授课教师各存一份。</w:t>
      </w:r>
    </w:p>
    <w:p>
      <w:pPr>
        <w:pStyle w:val="6"/>
        <w:spacing w:line="560" w:lineRule="exact"/>
        <w:ind w:firstLine="720" w:firstLineChars="200"/>
        <w:rPr>
          <w:rFonts w:ascii="方正小标宋简体" w:hAnsi="方正小标宋简体" w:eastAsia="方正小标宋简体" w:cs="方正小标宋简体"/>
          <w:kern w:val="0"/>
          <w:sz w:val="36"/>
          <w:szCs w:val="36"/>
          <w:shd w:val="clear" w:color="auto" w:fill="FFFFFF"/>
          <w:lang w:eastAsia="zh-CN" w:bidi="ar"/>
        </w:rPr>
      </w:pPr>
    </w:p>
    <w:p>
      <w:pPr>
        <w:pStyle w:val="6"/>
        <w:spacing w:line="560" w:lineRule="exact"/>
        <w:ind w:firstLine="720" w:firstLineChars="200"/>
        <w:rPr>
          <w:rFonts w:ascii="方正小标宋简体" w:hAnsi="方正小标宋简体" w:eastAsia="方正小标宋简体" w:cs="方正小标宋简体"/>
          <w:kern w:val="0"/>
          <w:sz w:val="36"/>
          <w:szCs w:val="36"/>
          <w:shd w:val="clear" w:color="auto" w:fill="FFFFFF"/>
          <w:lang w:eastAsia="zh-CN" w:bidi="ar"/>
        </w:rPr>
      </w:pPr>
    </w:p>
    <w:p>
      <w:pPr>
        <w:pStyle w:val="6"/>
        <w:spacing w:line="560" w:lineRule="exact"/>
        <w:ind w:firstLine="720" w:firstLineChars="200"/>
        <w:rPr>
          <w:rFonts w:ascii="方正小标宋简体" w:hAnsi="方正小标宋简体" w:eastAsia="方正小标宋简体" w:cs="方正小标宋简体"/>
          <w:kern w:val="0"/>
          <w:sz w:val="36"/>
          <w:szCs w:val="36"/>
          <w:shd w:val="clear" w:color="auto" w:fill="FFFFFF"/>
          <w:lang w:eastAsia="zh-CN" w:bidi="ar"/>
        </w:rPr>
      </w:pPr>
    </w:p>
    <w:p>
      <w:pPr>
        <w:pStyle w:val="6"/>
        <w:spacing w:line="560" w:lineRule="exact"/>
        <w:ind w:firstLine="4480" w:firstLineChars="1400"/>
        <w:jc w:val="right"/>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威海智慧谷职业中等专业学校</w:t>
      </w:r>
    </w:p>
    <w:p>
      <w:pPr>
        <w:pStyle w:val="6"/>
        <w:spacing w:line="560" w:lineRule="exact"/>
        <w:ind w:firstLine="4480" w:firstLineChars="1400"/>
        <w:jc w:val="right"/>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2024年3月</w:t>
      </w:r>
    </w:p>
    <w:sectPr>
      <w:footerReference r:id="rId6" w:type="default"/>
      <w:pgSz w:w="11906" w:h="16838"/>
      <w:pgMar w:top="2041" w:right="1531" w:bottom="1984"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F46FAA9-E968-4106-9FF8-257803B4706E}"/>
  </w:font>
  <w:font w:name="黑体">
    <w:panose1 w:val="02010609060101010101"/>
    <w:charset w:val="86"/>
    <w:family w:val="auto"/>
    <w:pitch w:val="default"/>
    <w:sig w:usb0="800002BF" w:usb1="38CF7CFA" w:usb2="00000016" w:usb3="00000000" w:csb0="00040001" w:csb1="00000000"/>
    <w:embedRegular r:id="rId2" w:fontKey="{A5F3D864-BE11-4274-A124-58668731C3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script"/>
    <w:pitch w:val="default"/>
    <w:sig w:usb0="00000001" w:usb1="080E0000" w:usb2="00000000" w:usb3="00000000" w:csb0="00040000" w:csb1="00000000"/>
    <w:embedRegular r:id="rId3" w:fontKey="{F15008A5-6F05-481D-981E-EAB108F2FA12}"/>
  </w:font>
  <w:font w:name="楷体">
    <w:panose1 w:val="02010609060101010101"/>
    <w:charset w:val="86"/>
    <w:family w:val="modern"/>
    <w:pitch w:val="default"/>
    <w:sig w:usb0="800002BF" w:usb1="38CF7CFA" w:usb2="00000016" w:usb3="00000000" w:csb0="00040001" w:csb1="00000000"/>
    <w:embedRegular r:id="rId4" w:fontKey="{83BA4EE6-6E32-4103-BDF4-48034EE59C4D}"/>
  </w:font>
  <w:font w:name="仿宋_GB2312">
    <w:panose1 w:val="02010609030101010101"/>
    <w:charset w:val="86"/>
    <w:family w:val="modern"/>
    <w:pitch w:val="default"/>
    <w:sig w:usb0="00000001" w:usb1="080E0000" w:usb2="00000000" w:usb3="00000000" w:csb0="00040000" w:csb1="00000000"/>
    <w:embedRegular r:id="rId5" w:fontKey="{E305E4D9-C8EC-4E87-8180-8C853120DCDA}"/>
  </w:font>
  <w:font w:name="楷体_GB2312">
    <w:panose1 w:val="02010609030101010101"/>
    <w:charset w:val="86"/>
    <w:family w:val="modern"/>
    <w:pitch w:val="default"/>
    <w:sig w:usb0="00000001" w:usb1="080E0000" w:usb2="00000000" w:usb3="00000000" w:csb0="00040000" w:csb1="00000000"/>
    <w:embedRegular r:id="rId6" w:fontKey="{246F2EA9-61D3-47DF-BF97-D8ACD61E155B}"/>
  </w:font>
  <w:font w:name="仿宋">
    <w:panose1 w:val="02010609060101010101"/>
    <w:charset w:val="86"/>
    <w:family w:val="modern"/>
    <w:pitch w:val="default"/>
    <w:sig w:usb0="800002BF" w:usb1="38CF7CFA" w:usb2="00000016" w:usb3="00000000" w:csb0="00040001" w:csb1="00000000"/>
    <w:embedRegular r:id="rId7" w:fontKey="{04CB5F8B-64D8-47B6-89A9-22D83D32F9EA}"/>
  </w:font>
  <w:font w:name="方正小标宋_GBK">
    <w:altName w:val="微软雅黑"/>
    <w:panose1 w:val="00000000000000000000"/>
    <w:charset w:val="86"/>
    <w:family w:val="script"/>
    <w:pitch w:val="default"/>
    <w:sig w:usb0="00000000" w:usb1="00000000" w:usb2="00082016" w:usb3="00000000" w:csb0="00040001" w:csb1="00000000"/>
    <w:embedRegular r:id="rId8" w:fontKey="{19738F33-9345-4129-8F68-6761C021B608}"/>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句读黑体 CN Xlight">
    <w:panose1 w:val="02000300000000000000"/>
    <w:charset w:val="86"/>
    <w:family w:val="auto"/>
    <w:pitch w:val="default"/>
    <w:sig w:usb0="F500AAFF" w:usb1="EBDFFDFB" w:usb2="0000001E" w:usb3="00000000" w:csb0="200501FF" w:csb1="C4000000"/>
  </w:font>
  <w:font w:name="字体圈欣意LOGO体">
    <w:panose1 w:val="00000500000000000000"/>
    <w:charset w:val="86"/>
    <w:family w:val="auto"/>
    <w:pitch w:val="default"/>
    <w:sig w:usb0="00000001" w:usb1="00000000" w:usb2="00000000" w:usb3="00000000" w:csb0="00040001" w:csb1="00000000"/>
  </w:font>
  <w:font w:name="字魂142号-小浣熊">
    <w:panose1 w:val="00000500000000000000"/>
    <w:charset w:val="86"/>
    <w:family w:val="auto"/>
    <w:pitch w:val="default"/>
    <w:sig w:usb0="A00002BF" w:usb1="184F6CFA" w:usb2="00000012" w:usb3="00000000" w:csb0="00040001" w:csb1="00000000"/>
  </w:font>
  <w:font w:name="尔雅凤凰手书">
    <w:panose1 w:val="00000500000000000000"/>
    <w:charset w:val="86"/>
    <w:family w:val="auto"/>
    <w:pitch w:val="default"/>
    <w:sig w:usb0="A00002BF" w:usb1="08CF7CFA" w:usb2="00000016" w:usb3="00000000" w:csb0="00040001" w:csb1="00000000"/>
  </w:font>
  <w:font w:name="思源宋体">
    <w:panose1 w:val="02020700000000000000"/>
    <w:charset w:val="86"/>
    <w:family w:val="auto"/>
    <w:pitch w:val="default"/>
    <w:sig w:usb0="B00002BF" w:usb1="6BDFFDFE" w:usb2="00000016" w:usb3="00000000" w:csb0="00040001" w:csb1="00000000"/>
  </w:font>
  <w:font w:name="思源黑体 CN Bold">
    <w:panose1 w:val="020B0800000000000000"/>
    <w:charset w:val="86"/>
    <w:family w:val="auto"/>
    <w:pitch w:val="default"/>
    <w:sig w:usb0="20000003" w:usb1="2ADF3C10" w:usb2="00000016" w:usb3="00000000" w:csb0="60060107" w:csb1="00000000"/>
  </w:font>
  <w:font w:name="思源黑体 CN Regular">
    <w:panose1 w:val="020B0500000000000000"/>
    <w:charset w:val="80"/>
    <w:family w:val="auto"/>
    <w:pitch w:val="default"/>
    <w:sig w:usb0="A0000287" w:usb1="28DF3C78" w:usb2="00000016" w:usb3="00000000" w:csb0="40020001" w:csb1="D1D60000"/>
  </w:font>
  <w:font w:name="千图纤墨体">
    <w:panose1 w:val="00000500000000000000"/>
    <w:charset w:val="86"/>
    <w:family w:val="auto"/>
    <w:pitch w:val="default"/>
    <w:sig w:usb0="80000023" w:usb1="0801004A" w:usb2="00000012" w:usb3="00000000" w:csb0="00040001" w:csb1="00000000"/>
  </w:font>
  <w:font w:name="尔雅胭脂体">
    <w:panose1 w:val="00000500000000000000"/>
    <w:charset w:val="86"/>
    <w:family w:val="auto"/>
    <w:pitch w:val="default"/>
    <w:sig w:usb0="A000006F" w:usb1="0801004A" w:usb2="00000012" w:usb3="00000000" w:csb0="00040001" w:csb1="00000000"/>
  </w:font>
  <w:font w:name="微软雅黑 Light">
    <w:panose1 w:val="020B0502040204020203"/>
    <w:charset w:val="86"/>
    <w:family w:val="auto"/>
    <w:pitch w:val="default"/>
    <w:sig w:usb0="80000287" w:usb1="2ACF0010" w:usb2="00000016" w:usb3="00000000" w:csb0="0004001F" w:csb1="00000000"/>
  </w:font>
  <w:font w:name="思源黑体 CN Heavy">
    <w:panose1 w:val="020B0A00000000000000"/>
    <w:charset w:val="86"/>
    <w:family w:val="auto"/>
    <w:pitch w:val="default"/>
    <w:sig w:usb0="20000003" w:usb1="2ADF3C10" w:usb2="00000016" w:usb3="00000000" w:csb0="60060107" w:csb1="00000000"/>
  </w:font>
  <w:font w:name="思源黑體 HW">
    <w:panose1 w:val="020B0500000000000000"/>
    <w:charset w:val="88"/>
    <w:family w:val="auto"/>
    <w:pitch w:val="default"/>
    <w:sig w:usb0="30000083" w:usb1="2BDF3C10" w:usb2="00000016" w:usb3="00000000" w:csb0="603A0107" w:csb1="00000000"/>
  </w:font>
  <w:font w:name="方正兰亭准黑_GBK">
    <w:panose1 w:val="02000000000000000000"/>
    <w:charset w:val="86"/>
    <w:family w:val="auto"/>
    <w:pitch w:val="default"/>
    <w:sig w:usb0="800002BF" w:usb1="38CF7CFA" w:usb2="00082016" w:usb3="00000000" w:csb0="00040000" w:csb1="00000000"/>
  </w:font>
  <w:font w:name="方正喵呜体">
    <w:panose1 w:val="02010600010101010101"/>
    <w:charset w:val="86"/>
    <w:family w:val="auto"/>
    <w:pitch w:val="default"/>
    <w:sig w:usb0="00000001" w:usb1="080E0000" w:usb2="00000000" w:usb3="00000000" w:csb0="00040000" w:csb1="00000000"/>
  </w:font>
  <w:font w:name="方正字迹-邢体草书简体">
    <w:panose1 w:val="03000502000000000000"/>
    <w:charset w:val="86"/>
    <w:family w:val="auto"/>
    <w:pitch w:val="default"/>
    <w:sig w:usb0="00000001" w:usb1="080E0000" w:usb2="00000000" w:usb3="00000000" w:csb0="00040000" w:csb1="00000000"/>
  </w:font>
  <w:font w:name="方正显仁简体">
    <w:panose1 w:val="03000509000000000000"/>
    <w:charset w:val="86"/>
    <w:family w:val="auto"/>
    <w:pitch w:val="default"/>
    <w:sig w:usb0="00000001" w:usb1="08000000" w:usb2="00000000" w:usb3="00000000" w:csb0="00040000" w:csb1="00000000"/>
  </w:font>
  <w:font w:name="方正经黑简体">
    <w:panose1 w:val="02000000000000000000"/>
    <w:charset w:val="86"/>
    <w:family w:val="auto"/>
    <w:pitch w:val="default"/>
    <w:sig w:usb0="00000001" w:usb1="08000000" w:usb2="00000000" w:usb3="00000000" w:csb0="00040000" w:csb1="00000000"/>
  </w:font>
  <w:font w:name="江西拙楷2.0">
    <w:panose1 w:val="00000500000000000000"/>
    <w:charset w:val="86"/>
    <w:family w:val="auto"/>
    <w:pitch w:val="default"/>
    <w:sig w:usb0="80000003" w:usb1="0801004B"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left="210" w:leftChars="100" w:right="210" w:rightChars="100"/>
                            <w:rPr>
                              <w:rStyle w:val="20"/>
                              <w:sz w:val="28"/>
                              <w:szCs w:val="28"/>
                            </w:rPr>
                          </w:pPr>
                          <w:r>
                            <w:rPr>
                              <w:rStyle w:val="20"/>
                              <w:sz w:val="28"/>
                              <w:szCs w:val="28"/>
                            </w:rPr>
                            <w:t xml:space="preserve">第 </w:t>
                          </w:r>
                          <w:r>
                            <w:rPr>
                              <w:rStyle w:val="20"/>
                              <w:sz w:val="28"/>
                              <w:szCs w:val="28"/>
                            </w:rPr>
                            <w:fldChar w:fldCharType="begin"/>
                          </w:r>
                          <w:r>
                            <w:rPr>
                              <w:rStyle w:val="20"/>
                              <w:sz w:val="28"/>
                              <w:szCs w:val="28"/>
                            </w:rPr>
                            <w:instrText xml:space="preserve"> PAGE  \* MERGEFORMAT </w:instrText>
                          </w:r>
                          <w:r>
                            <w:rPr>
                              <w:rStyle w:val="20"/>
                              <w:sz w:val="28"/>
                              <w:szCs w:val="28"/>
                            </w:rPr>
                            <w:fldChar w:fldCharType="separate"/>
                          </w:r>
                          <w:r>
                            <w:rPr>
                              <w:rStyle w:val="20"/>
                              <w:sz w:val="28"/>
                              <w:szCs w:val="28"/>
                            </w:rPr>
                            <w:t>- 1 -</w:t>
                          </w:r>
                          <w:r>
                            <w:rPr>
                              <w:rStyle w:val="20"/>
                              <w:sz w:val="28"/>
                              <w:szCs w:val="28"/>
                            </w:rPr>
                            <w:fldChar w:fldCharType="end"/>
                          </w:r>
                          <w:r>
                            <w:rPr>
                              <w:rStyle w:val="20"/>
                              <w:sz w:val="28"/>
                              <w:szCs w:val="2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pPr>
                      <w:pStyle w:val="11"/>
                      <w:ind w:left="210" w:leftChars="100" w:right="210" w:rightChars="100"/>
                      <w:rPr>
                        <w:rStyle w:val="20"/>
                        <w:sz w:val="28"/>
                        <w:szCs w:val="28"/>
                      </w:rPr>
                    </w:pPr>
                    <w:r>
                      <w:rPr>
                        <w:rStyle w:val="20"/>
                        <w:sz w:val="28"/>
                        <w:szCs w:val="28"/>
                      </w:rPr>
                      <w:t xml:space="preserve">第 </w:t>
                    </w:r>
                    <w:r>
                      <w:rPr>
                        <w:rStyle w:val="20"/>
                        <w:sz w:val="28"/>
                        <w:szCs w:val="28"/>
                      </w:rPr>
                      <w:fldChar w:fldCharType="begin"/>
                    </w:r>
                    <w:r>
                      <w:rPr>
                        <w:rStyle w:val="20"/>
                        <w:sz w:val="28"/>
                        <w:szCs w:val="28"/>
                      </w:rPr>
                      <w:instrText xml:space="preserve"> PAGE  \* MERGEFORMAT </w:instrText>
                    </w:r>
                    <w:r>
                      <w:rPr>
                        <w:rStyle w:val="20"/>
                        <w:sz w:val="28"/>
                        <w:szCs w:val="28"/>
                      </w:rPr>
                      <w:fldChar w:fldCharType="separate"/>
                    </w:r>
                    <w:r>
                      <w:rPr>
                        <w:rStyle w:val="20"/>
                        <w:sz w:val="28"/>
                        <w:szCs w:val="28"/>
                      </w:rPr>
                      <w:t>- 1 -</w:t>
                    </w:r>
                    <w:r>
                      <w:rPr>
                        <w:rStyle w:val="20"/>
                        <w:sz w:val="28"/>
                        <w:szCs w:val="28"/>
                      </w:rPr>
                      <w:fldChar w:fldCharType="end"/>
                    </w:r>
                    <w:r>
                      <w:rPr>
                        <w:rStyle w:val="20"/>
                        <w:sz w:val="28"/>
                        <w:szCs w:val="28"/>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360" w:firstLine="360"/>
    </w:pPr>
  </w:p>
  <w:p>
    <w:pPr>
      <w:pStyle w:val="11"/>
      <w:ind w:right="360" w:firstLine="36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left="210" w:leftChars="100" w:right="210" w:rightChars="100"/>
                            <w:rPr>
                              <w:rStyle w:val="20"/>
                              <w:sz w:val="28"/>
                              <w:szCs w:val="28"/>
                            </w:rPr>
                          </w:pPr>
                          <w:r>
                            <w:rPr>
                              <w:rStyle w:val="20"/>
                              <w:sz w:val="28"/>
                              <w:szCs w:val="28"/>
                            </w:rPr>
                            <w:t xml:space="preserve">第 </w:t>
                          </w:r>
                          <w:r>
                            <w:rPr>
                              <w:rStyle w:val="20"/>
                              <w:sz w:val="28"/>
                              <w:szCs w:val="28"/>
                            </w:rPr>
                            <w:fldChar w:fldCharType="begin"/>
                          </w:r>
                          <w:r>
                            <w:rPr>
                              <w:rStyle w:val="20"/>
                              <w:sz w:val="28"/>
                              <w:szCs w:val="28"/>
                            </w:rPr>
                            <w:instrText xml:space="preserve"> PAGE  \* MERGEFORMAT </w:instrText>
                          </w:r>
                          <w:r>
                            <w:rPr>
                              <w:rStyle w:val="20"/>
                              <w:sz w:val="28"/>
                              <w:szCs w:val="28"/>
                            </w:rPr>
                            <w:fldChar w:fldCharType="separate"/>
                          </w:r>
                          <w:r>
                            <w:rPr>
                              <w:rStyle w:val="20"/>
                              <w:sz w:val="28"/>
                              <w:szCs w:val="28"/>
                            </w:rPr>
                            <w:t>1</w:t>
                          </w:r>
                          <w:r>
                            <w:rPr>
                              <w:rStyle w:val="20"/>
                              <w:sz w:val="28"/>
                              <w:szCs w:val="28"/>
                            </w:rPr>
                            <w:fldChar w:fldCharType="end"/>
                          </w:r>
                          <w:r>
                            <w:rPr>
                              <w:rStyle w:val="20"/>
                              <w:sz w:val="28"/>
                              <w:szCs w:val="28"/>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1"/>
                      <w:ind w:left="210" w:leftChars="100" w:right="210" w:rightChars="100"/>
                      <w:rPr>
                        <w:rStyle w:val="20"/>
                        <w:sz w:val="28"/>
                        <w:szCs w:val="28"/>
                      </w:rPr>
                    </w:pPr>
                    <w:r>
                      <w:rPr>
                        <w:rStyle w:val="20"/>
                        <w:sz w:val="28"/>
                        <w:szCs w:val="28"/>
                      </w:rPr>
                      <w:t xml:space="preserve">第 </w:t>
                    </w:r>
                    <w:r>
                      <w:rPr>
                        <w:rStyle w:val="20"/>
                        <w:sz w:val="28"/>
                        <w:szCs w:val="28"/>
                      </w:rPr>
                      <w:fldChar w:fldCharType="begin"/>
                    </w:r>
                    <w:r>
                      <w:rPr>
                        <w:rStyle w:val="20"/>
                        <w:sz w:val="28"/>
                        <w:szCs w:val="28"/>
                      </w:rPr>
                      <w:instrText xml:space="preserve"> PAGE  \* MERGEFORMAT </w:instrText>
                    </w:r>
                    <w:r>
                      <w:rPr>
                        <w:rStyle w:val="20"/>
                        <w:sz w:val="28"/>
                        <w:szCs w:val="28"/>
                      </w:rPr>
                      <w:fldChar w:fldCharType="separate"/>
                    </w:r>
                    <w:r>
                      <w:rPr>
                        <w:rStyle w:val="20"/>
                        <w:sz w:val="28"/>
                        <w:szCs w:val="28"/>
                      </w:rPr>
                      <w:t>1</w:t>
                    </w:r>
                    <w:r>
                      <w:rPr>
                        <w:rStyle w:val="20"/>
                        <w:sz w:val="28"/>
                        <w:szCs w:val="28"/>
                      </w:rPr>
                      <w:fldChar w:fldCharType="end"/>
                    </w:r>
                    <w:r>
                      <w:rPr>
                        <w:rStyle w:val="20"/>
                        <w:sz w:val="28"/>
                        <w:szCs w:val="28"/>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266"/>
      <w:rPr>
        <w:rFonts w:eastAsia="Times New Roman"/>
        <w:sz w:val="19"/>
        <w:szCs w:val="19"/>
      </w:rPr>
    </w:pPr>
    <w:r>
      <w:rPr>
        <w:sz w:val="19"/>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第 </w:t>
                          </w:r>
                          <w:r>
                            <w:fldChar w:fldCharType="begin"/>
                          </w:r>
                          <w:r>
                            <w:instrText xml:space="preserve"> PAGE  \* MERGEFORMAT </w:instrText>
                          </w:r>
                          <w:r>
                            <w:fldChar w:fldCharType="separate"/>
                          </w:r>
                          <w:r>
                            <w:t>23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ofIv8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HyL/KwIAAFcEAAAOAAAAAAAAAAEAIAAAAB8BAABkcnMvZTJvRG9jLnhtbFBLBQYAAAAABgAG&#10;AFkBAAC8BQAAAAA=&#10;">
              <v:fill on="f" focussize="0,0"/>
              <v:stroke on="f" weight="0.5pt"/>
              <v:imagedata o:title=""/>
              <o:lock v:ext="edit" aspectratio="f"/>
              <v:textbox inset="0mm,0mm,0mm,0mm" style="mso-fit-shape-to-text:t;">
                <w:txbxContent>
                  <w:p>
                    <w:pPr>
                      <w:pStyle w:val="11"/>
                    </w:pPr>
                    <w:r>
                      <w:t xml:space="preserve">第 </w:t>
                    </w:r>
                    <w:r>
                      <w:fldChar w:fldCharType="begin"/>
                    </w:r>
                    <w:r>
                      <w:instrText xml:space="preserve"> PAGE  \* MERGEFORMAT </w:instrText>
                    </w:r>
                    <w:r>
                      <w:fldChar w:fldCharType="separate"/>
                    </w:r>
                    <w:r>
                      <w:t>23</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690405"/>
    <w:multiLevelType w:val="singleLevel"/>
    <w:tmpl w:val="A1690405"/>
    <w:lvl w:ilvl="0" w:tentative="0">
      <w:start w:val="5"/>
      <w:numFmt w:val="chineseCounting"/>
      <w:suff w:val="nothing"/>
      <w:lvlText w:val="（%1）"/>
      <w:lvlJc w:val="left"/>
      <w:rPr>
        <w:rFonts w:hint="eastAsia"/>
      </w:rPr>
    </w:lvl>
  </w:abstractNum>
  <w:abstractNum w:abstractNumId="1">
    <w:nsid w:val="1A9B2569"/>
    <w:multiLevelType w:val="singleLevel"/>
    <w:tmpl w:val="1A9B2569"/>
    <w:lvl w:ilvl="0" w:tentative="0">
      <w:start w:val="1"/>
      <w:numFmt w:val="chineseCounting"/>
      <w:suff w:val="nothing"/>
      <w:lvlText w:val="（%1）"/>
      <w:lvlJc w:val="left"/>
      <w:rPr>
        <w:rFonts w:hint="eastAsia"/>
      </w:rPr>
    </w:lvl>
  </w:abstractNum>
  <w:abstractNum w:abstractNumId="2">
    <w:nsid w:val="7A793AF7"/>
    <w:multiLevelType w:val="singleLevel"/>
    <w:tmpl w:val="7A793AF7"/>
    <w:lvl w:ilvl="0" w:tentative="0">
      <w:start w:val="2"/>
      <w:numFmt w:val="chineseCounting"/>
      <w:suff w:val="nothing"/>
      <w:lvlText w:val="（%1）"/>
      <w:lvlJc w:val="left"/>
      <w:pPr>
        <w:ind w:left="280" w:firstLine="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44"/>
  <w:drawingGridVerticalSpacing w:val="43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1MDQ1MjFiNTIyNGNmYTgxNTY0NmQ4YmRhMDU2N2EifQ=="/>
    <w:docVar w:name="KSO_WPS_MARK_KEY" w:val="c1879f89-7622-4c2d-a6ee-76acecbe12ec"/>
  </w:docVars>
  <w:rsids>
    <w:rsidRoot w:val="4EC94844"/>
    <w:rsid w:val="00016ECE"/>
    <w:rsid w:val="000326EE"/>
    <w:rsid w:val="0003634A"/>
    <w:rsid w:val="00055A11"/>
    <w:rsid w:val="00061E63"/>
    <w:rsid w:val="00082044"/>
    <w:rsid w:val="000D1321"/>
    <w:rsid w:val="0011754B"/>
    <w:rsid w:val="00120184"/>
    <w:rsid w:val="00124ECC"/>
    <w:rsid w:val="001616D8"/>
    <w:rsid w:val="00181275"/>
    <w:rsid w:val="001A14DA"/>
    <w:rsid w:val="001B13D6"/>
    <w:rsid w:val="001D3614"/>
    <w:rsid w:val="00221E78"/>
    <w:rsid w:val="00236268"/>
    <w:rsid w:val="00244E5C"/>
    <w:rsid w:val="00263220"/>
    <w:rsid w:val="002861B6"/>
    <w:rsid w:val="002F3B6E"/>
    <w:rsid w:val="002F60DD"/>
    <w:rsid w:val="00311A5F"/>
    <w:rsid w:val="00341609"/>
    <w:rsid w:val="004168D3"/>
    <w:rsid w:val="0043441A"/>
    <w:rsid w:val="0044372D"/>
    <w:rsid w:val="0045543D"/>
    <w:rsid w:val="004D3168"/>
    <w:rsid w:val="00515CD6"/>
    <w:rsid w:val="005747D1"/>
    <w:rsid w:val="00576EBA"/>
    <w:rsid w:val="005A4713"/>
    <w:rsid w:val="006225B8"/>
    <w:rsid w:val="006240A8"/>
    <w:rsid w:val="00637163"/>
    <w:rsid w:val="00647E23"/>
    <w:rsid w:val="006C42E9"/>
    <w:rsid w:val="006E7372"/>
    <w:rsid w:val="00700464"/>
    <w:rsid w:val="00710E61"/>
    <w:rsid w:val="00722C0E"/>
    <w:rsid w:val="00777080"/>
    <w:rsid w:val="007971D2"/>
    <w:rsid w:val="007C3E2F"/>
    <w:rsid w:val="007F2019"/>
    <w:rsid w:val="007F2DAE"/>
    <w:rsid w:val="0080762A"/>
    <w:rsid w:val="00810EE3"/>
    <w:rsid w:val="008B1FD7"/>
    <w:rsid w:val="008E147A"/>
    <w:rsid w:val="008F37E8"/>
    <w:rsid w:val="009213E1"/>
    <w:rsid w:val="0096193E"/>
    <w:rsid w:val="00975D66"/>
    <w:rsid w:val="00992FA5"/>
    <w:rsid w:val="009955E9"/>
    <w:rsid w:val="00A12741"/>
    <w:rsid w:val="00A718F4"/>
    <w:rsid w:val="00AA33C7"/>
    <w:rsid w:val="00AA5BA4"/>
    <w:rsid w:val="00B43C43"/>
    <w:rsid w:val="00B9383D"/>
    <w:rsid w:val="00BD5342"/>
    <w:rsid w:val="00BF3A07"/>
    <w:rsid w:val="00BF595F"/>
    <w:rsid w:val="00C777E8"/>
    <w:rsid w:val="00C92014"/>
    <w:rsid w:val="00C954BC"/>
    <w:rsid w:val="00C958AA"/>
    <w:rsid w:val="00CA04A5"/>
    <w:rsid w:val="00CB1CE9"/>
    <w:rsid w:val="00CC31BF"/>
    <w:rsid w:val="00CC46C9"/>
    <w:rsid w:val="00CC61DF"/>
    <w:rsid w:val="00D05722"/>
    <w:rsid w:val="00D15740"/>
    <w:rsid w:val="00D30013"/>
    <w:rsid w:val="00DC1A25"/>
    <w:rsid w:val="00DC722C"/>
    <w:rsid w:val="00E00048"/>
    <w:rsid w:val="00E14040"/>
    <w:rsid w:val="00E24DCF"/>
    <w:rsid w:val="00E33B1E"/>
    <w:rsid w:val="00E46AA7"/>
    <w:rsid w:val="00E73E48"/>
    <w:rsid w:val="00E870F0"/>
    <w:rsid w:val="00EF35F9"/>
    <w:rsid w:val="00F061FD"/>
    <w:rsid w:val="00FF3DC7"/>
    <w:rsid w:val="01311D17"/>
    <w:rsid w:val="013B0DE8"/>
    <w:rsid w:val="013D6280"/>
    <w:rsid w:val="017A16F1"/>
    <w:rsid w:val="01814321"/>
    <w:rsid w:val="01AC3A93"/>
    <w:rsid w:val="01F92046"/>
    <w:rsid w:val="02353087"/>
    <w:rsid w:val="02355837"/>
    <w:rsid w:val="02466C72"/>
    <w:rsid w:val="02590097"/>
    <w:rsid w:val="02924A37"/>
    <w:rsid w:val="02AB5AF9"/>
    <w:rsid w:val="02B318C5"/>
    <w:rsid w:val="02C35A8C"/>
    <w:rsid w:val="02CB2AA4"/>
    <w:rsid w:val="02D768EE"/>
    <w:rsid w:val="02D7696B"/>
    <w:rsid w:val="031B2C7F"/>
    <w:rsid w:val="03200295"/>
    <w:rsid w:val="03647097"/>
    <w:rsid w:val="03963644"/>
    <w:rsid w:val="039B4330"/>
    <w:rsid w:val="03D26FB6"/>
    <w:rsid w:val="04AC27BA"/>
    <w:rsid w:val="04FC6AE0"/>
    <w:rsid w:val="0501370E"/>
    <w:rsid w:val="054162A1"/>
    <w:rsid w:val="054D2E98"/>
    <w:rsid w:val="054D6A14"/>
    <w:rsid w:val="058C27C0"/>
    <w:rsid w:val="05B178CA"/>
    <w:rsid w:val="05B7054C"/>
    <w:rsid w:val="05C173E2"/>
    <w:rsid w:val="05F31C91"/>
    <w:rsid w:val="05F61781"/>
    <w:rsid w:val="06001634"/>
    <w:rsid w:val="060F45F1"/>
    <w:rsid w:val="06314567"/>
    <w:rsid w:val="0686237C"/>
    <w:rsid w:val="06954AF6"/>
    <w:rsid w:val="06A55A83"/>
    <w:rsid w:val="06B56F46"/>
    <w:rsid w:val="06B86A37"/>
    <w:rsid w:val="06C70A28"/>
    <w:rsid w:val="06D41C0B"/>
    <w:rsid w:val="06DB44D3"/>
    <w:rsid w:val="06E11AE9"/>
    <w:rsid w:val="06E670D4"/>
    <w:rsid w:val="07107A01"/>
    <w:rsid w:val="0737795B"/>
    <w:rsid w:val="0755531E"/>
    <w:rsid w:val="075D7207"/>
    <w:rsid w:val="0760636A"/>
    <w:rsid w:val="07775550"/>
    <w:rsid w:val="07802062"/>
    <w:rsid w:val="079052BE"/>
    <w:rsid w:val="079270C9"/>
    <w:rsid w:val="079E5C2C"/>
    <w:rsid w:val="07C12195"/>
    <w:rsid w:val="07CC279A"/>
    <w:rsid w:val="07DE2F85"/>
    <w:rsid w:val="07F3586E"/>
    <w:rsid w:val="07F43A9E"/>
    <w:rsid w:val="082A74C0"/>
    <w:rsid w:val="085207C5"/>
    <w:rsid w:val="08566A1E"/>
    <w:rsid w:val="086B7012"/>
    <w:rsid w:val="087F76A4"/>
    <w:rsid w:val="08876C3D"/>
    <w:rsid w:val="08AB6107"/>
    <w:rsid w:val="08AD7EA6"/>
    <w:rsid w:val="08CA4DCB"/>
    <w:rsid w:val="08D77648"/>
    <w:rsid w:val="08DE30FD"/>
    <w:rsid w:val="08EB6813"/>
    <w:rsid w:val="08F06A48"/>
    <w:rsid w:val="08FB0871"/>
    <w:rsid w:val="09151F1E"/>
    <w:rsid w:val="0932487E"/>
    <w:rsid w:val="0935611C"/>
    <w:rsid w:val="093738EA"/>
    <w:rsid w:val="09434CDD"/>
    <w:rsid w:val="09727371"/>
    <w:rsid w:val="097906FF"/>
    <w:rsid w:val="09864BCA"/>
    <w:rsid w:val="09AB4631"/>
    <w:rsid w:val="09C15C02"/>
    <w:rsid w:val="09C32DBD"/>
    <w:rsid w:val="09C676BC"/>
    <w:rsid w:val="09F41468"/>
    <w:rsid w:val="0A05611E"/>
    <w:rsid w:val="0A0A00B0"/>
    <w:rsid w:val="0A1A3202"/>
    <w:rsid w:val="0A2D3298"/>
    <w:rsid w:val="0A3463D4"/>
    <w:rsid w:val="0A36114C"/>
    <w:rsid w:val="0A556F05"/>
    <w:rsid w:val="0A9D2046"/>
    <w:rsid w:val="0AAD010A"/>
    <w:rsid w:val="0ABA2D7D"/>
    <w:rsid w:val="0AEC6126"/>
    <w:rsid w:val="0B077F8D"/>
    <w:rsid w:val="0B122F3A"/>
    <w:rsid w:val="0B7D3DAB"/>
    <w:rsid w:val="0B883C36"/>
    <w:rsid w:val="0B8F2117"/>
    <w:rsid w:val="0B9E444D"/>
    <w:rsid w:val="0BA17A99"/>
    <w:rsid w:val="0BA63302"/>
    <w:rsid w:val="0C25691C"/>
    <w:rsid w:val="0C421CC7"/>
    <w:rsid w:val="0C542D5E"/>
    <w:rsid w:val="0C5C1C12"/>
    <w:rsid w:val="0C605BA6"/>
    <w:rsid w:val="0C796C68"/>
    <w:rsid w:val="0C803B53"/>
    <w:rsid w:val="0C923562"/>
    <w:rsid w:val="0CD56030"/>
    <w:rsid w:val="0CD93263"/>
    <w:rsid w:val="0CF20312"/>
    <w:rsid w:val="0D1D167E"/>
    <w:rsid w:val="0D865C68"/>
    <w:rsid w:val="0DA76EF7"/>
    <w:rsid w:val="0E016238"/>
    <w:rsid w:val="0E782D35"/>
    <w:rsid w:val="0EA37FCC"/>
    <w:rsid w:val="0EAD041A"/>
    <w:rsid w:val="0EB6385C"/>
    <w:rsid w:val="0EBE66C8"/>
    <w:rsid w:val="0ECC26BE"/>
    <w:rsid w:val="0EEC4C7F"/>
    <w:rsid w:val="0EEC7088"/>
    <w:rsid w:val="0EED1247"/>
    <w:rsid w:val="0EEF6D6E"/>
    <w:rsid w:val="0EF97BEC"/>
    <w:rsid w:val="0F0740B7"/>
    <w:rsid w:val="0F470958"/>
    <w:rsid w:val="0F4F5A5E"/>
    <w:rsid w:val="0F59068B"/>
    <w:rsid w:val="0F8676D2"/>
    <w:rsid w:val="0F8737DE"/>
    <w:rsid w:val="0FBA737B"/>
    <w:rsid w:val="0FD541B5"/>
    <w:rsid w:val="0FD97FCA"/>
    <w:rsid w:val="0FDE750E"/>
    <w:rsid w:val="10172A20"/>
    <w:rsid w:val="1032010A"/>
    <w:rsid w:val="10341166"/>
    <w:rsid w:val="103A6D61"/>
    <w:rsid w:val="10414385"/>
    <w:rsid w:val="10826527"/>
    <w:rsid w:val="108C2A50"/>
    <w:rsid w:val="10923E54"/>
    <w:rsid w:val="10B71B0D"/>
    <w:rsid w:val="10CB7366"/>
    <w:rsid w:val="10E11279"/>
    <w:rsid w:val="110B69CC"/>
    <w:rsid w:val="11126ECE"/>
    <w:rsid w:val="11166833"/>
    <w:rsid w:val="112371A2"/>
    <w:rsid w:val="1146319E"/>
    <w:rsid w:val="115A134C"/>
    <w:rsid w:val="11943BFC"/>
    <w:rsid w:val="11973128"/>
    <w:rsid w:val="119D51A7"/>
    <w:rsid w:val="11AF709B"/>
    <w:rsid w:val="11D34725"/>
    <w:rsid w:val="11E20E0C"/>
    <w:rsid w:val="11EC3A38"/>
    <w:rsid w:val="11F748B7"/>
    <w:rsid w:val="1225795C"/>
    <w:rsid w:val="127E28E2"/>
    <w:rsid w:val="12956B0A"/>
    <w:rsid w:val="12963118"/>
    <w:rsid w:val="12FA3113"/>
    <w:rsid w:val="133D1120"/>
    <w:rsid w:val="1358736F"/>
    <w:rsid w:val="136441CE"/>
    <w:rsid w:val="13847A0A"/>
    <w:rsid w:val="1395604C"/>
    <w:rsid w:val="139D3726"/>
    <w:rsid w:val="13A03EF5"/>
    <w:rsid w:val="13A4281C"/>
    <w:rsid w:val="13D11138"/>
    <w:rsid w:val="13D7532F"/>
    <w:rsid w:val="13E148EA"/>
    <w:rsid w:val="13E26EA1"/>
    <w:rsid w:val="13E96481"/>
    <w:rsid w:val="13EB044B"/>
    <w:rsid w:val="13EF72C8"/>
    <w:rsid w:val="14172FEE"/>
    <w:rsid w:val="141C6857"/>
    <w:rsid w:val="1424562D"/>
    <w:rsid w:val="1424570B"/>
    <w:rsid w:val="14706BA3"/>
    <w:rsid w:val="147E306D"/>
    <w:rsid w:val="14900FF3"/>
    <w:rsid w:val="149B5DB4"/>
    <w:rsid w:val="14B3099F"/>
    <w:rsid w:val="14C34F24"/>
    <w:rsid w:val="14CB202B"/>
    <w:rsid w:val="14F41582"/>
    <w:rsid w:val="1511242E"/>
    <w:rsid w:val="151D2886"/>
    <w:rsid w:val="15435BF2"/>
    <w:rsid w:val="15581B10"/>
    <w:rsid w:val="157955E3"/>
    <w:rsid w:val="158226E9"/>
    <w:rsid w:val="158C17BA"/>
    <w:rsid w:val="158F12AA"/>
    <w:rsid w:val="159A5853"/>
    <w:rsid w:val="15A24B3A"/>
    <w:rsid w:val="15A3368D"/>
    <w:rsid w:val="15A9236C"/>
    <w:rsid w:val="15AC44BE"/>
    <w:rsid w:val="15AC59B8"/>
    <w:rsid w:val="15D71AE7"/>
    <w:rsid w:val="160B0931"/>
    <w:rsid w:val="161A5018"/>
    <w:rsid w:val="1641578F"/>
    <w:rsid w:val="166D339A"/>
    <w:rsid w:val="16B965DF"/>
    <w:rsid w:val="16BE26F7"/>
    <w:rsid w:val="16E946F7"/>
    <w:rsid w:val="16EB2510"/>
    <w:rsid w:val="16FB6BF7"/>
    <w:rsid w:val="17057A40"/>
    <w:rsid w:val="17173305"/>
    <w:rsid w:val="172F4AF3"/>
    <w:rsid w:val="174F484D"/>
    <w:rsid w:val="177F789E"/>
    <w:rsid w:val="17A50911"/>
    <w:rsid w:val="17C47C4D"/>
    <w:rsid w:val="17CA0378"/>
    <w:rsid w:val="17D124FB"/>
    <w:rsid w:val="17D3547E"/>
    <w:rsid w:val="17EC6540"/>
    <w:rsid w:val="17F200CF"/>
    <w:rsid w:val="18100480"/>
    <w:rsid w:val="18147845"/>
    <w:rsid w:val="181A12FF"/>
    <w:rsid w:val="18697B91"/>
    <w:rsid w:val="186D1037"/>
    <w:rsid w:val="188869F8"/>
    <w:rsid w:val="18DD40DB"/>
    <w:rsid w:val="18E5190D"/>
    <w:rsid w:val="18E86D07"/>
    <w:rsid w:val="18F305D7"/>
    <w:rsid w:val="19063631"/>
    <w:rsid w:val="19205339"/>
    <w:rsid w:val="193321B6"/>
    <w:rsid w:val="1937619F"/>
    <w:rsid w:val="194B54E8"/>
    <w:rsid w:val="195A572B"/>
    <w:rsid w:val="195F17CA"/>
    <w:rsid w:val="197B3EB5"/>
    <w:rsid w:val="198A7DBF"/>
    <w:rsid w:val="19976414"/>
    <w:rsid w:val="19D20E68"/>
    <w:rsid w:val="19FB3354"/>
    <w:rsid w:val="1A284012"/>
    <w:rsid w:val="1A441E72"/>
    <w:rsid w:val="1A750A6F"/>
    <w:rsid w:val="1A9058A9"/>
    <w:rsid w:val="1A9609E5"/>
    <w:rsid w:val="1AA72BF2"/>
    <w:rsid w:val="1AB71087"/>
    <w:rsid w:val="1AB772D9"/>
    <w:rsid w:val="1AC217DA"/>
    <w:rsid w:val="1ADD03C2"/>
    <w:rsid w:val="1AE6371B"/>
    <w:rsid w:val="1AE83608"/>
    <w:rsid w:val="1B34092A"/>
    <w:rsid w:val="1B39686C"/>
    <w:rsid w:val="1B4B5C73"/>
    <w:rsid w:val="1B5C578B"/>
    <w:rsid w:val="1B8401D9"/>
    <w:rsid w:val="1B852F33"/>
    <w:rsid w:val="1B8C0175"/>
    <w:rsid w:val="1B920528"/>
    <w:rsid w:val="1BA3785E"/>
    <w:rsid w:val="1BE31D2D"/>
    <w:rsid w:val="1BE85270"/>
    <w:rsid w:val="1BF86013"/>
    <w:rsid w:val="1C2376BB"/>
    <w:rsid w:val="1C26233D"/>
    <w:rsid w:val="1C3340F8"/>
    <w:rsid w:val="1C4D1829"/>
    <w:rsid w:val="1C5020B1"/>
    <w:rsid w:val="1C5803F8"/>
    <w:rsid w:val="1C630856"/>
    <w:rsid w:val="1C8A6B97"/>
    <w:rsid w:val="1CB330BA"/>
    <w:rsid w:val="1CB3762C"/>
    <w:rsid w:val="1CB56699"/>
    <w:rsid w:val="1CC21F65"/>
    <w:rsid w:val="1CCB0222"/>
    <w:rsid w:val="1CD60C80"/>
    <w:rsid w:val="1CDF6673"/>
    <w:rsid w:val="1CE870E1"/>
    <w:rsid w:val="1D0C7C22"/>
    <w:rsid w:val="1D2D5631"/>
    <w:rsid w:val="1D44297A"/>
    <w:rsid w:val="1D733EAC"/>
    <w:rsid w:val="1D761B9E"/>
    <w:rsid w:val="1DA376A1"/>
    <w:rsid w:val="1DA82F09"/>
    <w:rsid w:val="1DAD522A"/>
    <w:rsid w:val="1DAF24EA"/>
    <w:rsid w:val="1DDA6E3B"/>
    <w:rsid w:val="1DE11D1C"/>
    <w:rsid w:val="1DE5057D"/>
    <w:rsid w:val="1DE963F2"/>
    <w:rsid w:val="1E047C52"/>
    <w:rsid w:val="1E05035C"/>
    <w:rsid w:val="1E1467F1"/>
    <w:rsid w:val="1E214A6A"/>
    <w:rsid w:val="1E397B74"/>
    <w:rsid w:val="1E426EBA"/>
    <w:rsid w:val="1E5730FC"/>
    <w:rsid w:val="1EA01E32"/>
    <w:rsid w:val="1EA77665"/>
    <w:rsid w:val="1EAE454F"/>
    <w:rsid w:val="1ED32208"/>
    <w:rsid w:val="1EE703CB"/>
    <w:rsid w:val="1EE833D9"/>
    <w:rsid w:val="1EFB3209"/>
    <w:rsid w:val="1F250E09"/>
    <w:rsid w:val="1F4B7FF0"/>
    <w:rsid w:val="1F617832"/>
    <w:rsid w:val="1F742441"/>
    <w:rsid w:val="1F882FF2"/>
    <w:rsid w:val="1F90634B"/>
    <w:rsid w:val="1F9C6A7C"/>
    <w:rsid w:val="1FB20102"/>
    <w:rsid w:val="1FDA1374"/>
    <w:rsid w:val="1FE04BDC"/>
    <w:rsid w:val="20041933"/>
    <w:rsid w:val="201A76E9"/>
    <w:rsid w:val="20265145"/>
    <w:rsid w:val="20325F7E"/>
    <w:rsid w:val="20360CA0"/>
    <w:rsid w:val="203767C6"/>
    <w:rsid w:val="203A086E"/>
    <w:rsid w:val="204A06C7"/>
    <w:rsid w:val="204F1D62"/>
    <w:rsid w:val="205B0707"/>
    <w:rsid w:val="205E3D53"/>
    <w:rsid w:val="2080016D"/>
    <w:rsid w:val="20857532"/>
    <w:rsid w:val="209B6D55"/>
    <w:rsid w:val="211C233A"/>
    <w:rsid w:val="2163586D"/>
    <w:rsid w:val="216B2BCB"/>
    <w:rsid w:val="21867A05"/>
    <w:rsid w:val="21A51484"/>
    <w:rsid w:val="21A97250"/>
    <w:rsid w:val="21BC3427"/>
    <w:rsid w:val="21D249F9"/>
    <w:rsid w:val="220B3260"/>
    <w:rsid w:val="22482F0D"/>
    <w:rsid w:val="2265761B"/>
    <w:rsid w:val="226D64CF"/>
    <w:rsid w:val="22873A35"/>
    <w:rsid w:val="22A46395"/>
    <w:rsid w:val="22D62D35"/>
    <w:rsid w:val="22E9024C"/>
    <w:rsid w:val="23047A11"/>
    <w:rsid w:val="230D6ABB"/>
    <w:rsid w:val="231D38A1"/>
    <w:rsid w:val="23335FA6"/>
    <w:rsid w:val="233844FA"/>
    <w:rsid w:val="236553F8"/>
    <w:rsid w:val="236725CA"/>
    <w:rsid w:val="236E206F"/>
    <w:rsid w:val="237D6BE6"/>
    <w:rsid w:val="2390234F"/>
    <w:rsid w:val="23965F23"/>
    <w:rsid w:val="23B7040A"/>
    <w:rsid w:val="23F32A04"/>
    <w:rsid w:val="240115C5"/>
    <w:rsid w:val="2409047A"/>
    <w:rsid w:val="242F6132"/>
    <w:rsid w:val="243674C1"/>
    <w:rsid w:val="244119C2"/>
    <w:rsid w:val="24704055"/>
    <w:rsid w:val="247B1377"/>
    <w:rsid w:val="24831FDA"/>
    <w:rsid w:val="249B7324"/>
    <w:rsid w:val="249E6E14"/>
    <w:rsid w:val="24F609FE"/>
    <w:rsid w:val="2500187D"/>
    <w:rsid w:val="252A2082"/>
    <w:rsid w:val="255933D3"/>
    <w:rsid w:val="257F4890"/>
    <w:rsid w:val="25AE6362"/>
    <w:rsid w:val="25BF5294"/>
    <w:rsid w:val="25CB2A91"/>
    <w:rsid w:val="25E44CFA"/>
    <w:rsid w:val="260333D3"/>
    <w:rsid w:val="26173D8C"/>
    <w:rsid w:val="263E440B"/>
    <w:rsid w:val="26502390"/>
    <w:rsid w:val="265754CC"/>
    <w:rsid w:val="266412CF"/>
    <w:rsid w:val="26B6250E"/>
    <w:rsid w:val="26C3146B"/>
    <w:rsid w:val="26D46B1D"/>
    <w:rsid w:val="26DA3A5F"/>
    <w:rsid w:val="26DA5E4E"/>
    <w:rsid w:val="271A7E79"/>
    <w:rsid w:val="27384086"/>
    <w:rsid w:val="27716A62"/>
    <w:rsid w:val="277976C4"/>
    <w:rsid w:val="280276BA"/>
    <w:rsid w:val="281B28E6"/>
    <w:rsid w:val="287560BC"/>
    <w:rsid w:val="289D11E7"/>
    <w:rsid w:val="28B9246E"/>
    <w:rsid w:val="28E05C4D"/>
    <w:rsid w:val="29080D00"/>
    <w:rsid w:val="2912392D"/>
    <w:rsid w:val="291458F7"/>
    <w:rsid w:val="291A315C"/>
    <w:rsid w:val="292A336C"/>
    <w:rsid w:val="293164A9"/>
    <w:rsid w:val="29594DBB"/>
    <w:rsid w:val="29946A38"/>
    <w:rsid w:val="29AD7216"/>
    <w:rsid w:val="29AE5D4B"/>
    <w:rsid w:val="29B665AC"/>
    <w:rsid w:val="29B73240"/>
    <w:rsid w:val="29C55F3E"/>
    <w:rsid w:val="29E67293"/>
    <w:rsid w:val="29EF52A8"/>
    <w:rsid w:val="29FF2103"/>
    <w:rsid w:val="2A1B4A63"/>
    <w:rsid w:val="2A27165A"/>
    <w:rsid w:val="2A2C6C70"/>
    <w:rsid w:val="2A314286"/>
    <w:rsid w:val="2A32409D"/>
    <w:rsid w:val="2A5D507B"/>
    <w:rsid w:val="2A70221C"/>
    <w:rsid w:val="2A707A61"/>
    <w:rsid w:val="2A77613D"/>
    <w:rsid w:val="2A7B715C"/>
    <w:rsid w:val="2A832B5A"/>
    <w:rsid w:val="2A906CB5"/>
    <w:rsid w:val="2A924D25"/>
    <w:rsid w:val="2AA35184"/>
    <w:rsid w:val="2AA44A58"/>
    <w:rsid w:val="2AAF1A65"/>
    <w:rsid w:val="2ABE312B"/>
    <w:rsid w:val="2AC808C0"/>
    <w:rsid w:val="2AE17A5A"/>
    <w:rsid w:val="2AFC2AE6"/>
    <w:rsid w:val="2B035C23"/>
    <w:rsid w:val="2B2F77BD"/>
    <w:rsid w:val="2B325796"/>
    <w:rsid w:val="2B367DA6"/>
    <w:rsid w:val="2B3B3B25"/>
    <w:rsid w:val="2B486052"/>
    <w:rsid w:val="2B4D3342"/>
    <w:rsid w:val="2B612949"/>
    <w:rsid w:val="2B7C45EA"/>
    <w:rsid w:val="2B856638"/>
    <w:rsid w:val="2B8F1B40"/>
    <w:rsid w:val="2B935A45"/>
    <w:rsid w:val="2B98280F"/>
    <w:rsid w:val="2BA0741C"/>
    <w:rsid w:val="2BA94A1C"/>
    <w:rsid w:val="2BB1742D"/>
    <w:rsid w:val="2BBE7D9C"/>
    <w:rsid w:val="2BC901E5"/>
    <w:rsid w:val="2BF963F1"/>
    <w:rsid w:val="2BFC4E30"/>
    <w:rsid w:val="2C115316"/>
    <w:rsid w:val="2C2A71DF"/>
    <w:rsid w:val="2C35005E"/>
    <w:rsid w:val="2C387AF5"/>
    <w:rsid w:val="2C4D184B"/>
    <w:rsid w:val="2C714E0E"/>
    <w:rsid w:val="2C7D6FFF"/>
    <w:rsid w:val="2C956634"/>
    <w:rsid w:val="2CA945A8"/>
    <w:rsid w:val="2CAB2132"/>
    <w:rsid w:val="2CDE24A4"/>
    <w:rsid w:val="2D11705B"/>
    <w:rsid w:val="2D2118F8"/>
    <w:rsid w:val="2D244788"/>
    <w:rsid w:val="2D285BC0"/>
    <w:rsid w:val="2D55028C"/>
    <w:rsid w:val="2D564730"/>
    <w:rsid w:val="2D572256"/>
    <w:rsid w:val="2D5B3AF4"/>
    <w:rsid w:val="2D5C161A"/>
    <w:rsid w:val="2D5C786C"/>
    <w:rsid w:val="2D655102"/>
    <w:rsid w:val="2D6F35DC"/>
    <w:rsid w:val="2D885E2D"/>
    <w:rsid w:val="2D897EA7"/>
    <w:rsid w:val="2DA52FC1"/>
    <w:rsid w:val="2DB5089D"/>
    <w:rsid w:val="2DBF0B60"/>
    <w:rsid w:val="2DD92C6B"/>
    <w:rsid w:val="2DFD2DFD"/>
    <w:rsid w:val="2E06258A"/>
    <w:rsid w:val="2E1732AD"/>
    <w:rsid w:val="2E1E3941"/>
    <w:rsid w:val="2E2E2FB7"/>
    <w:rsid w:val="2E47051C"/>
    <w:rsid w:val="2E5D564A"/>
    <w:rsid w:val="2E7B7E90"/>
    <w:rsid w:val="2E876B6B"/>
    <w:rsid w:val="2E8A3E18"/>
    <w:rsid w:val="2EB5368F"/>
    <w:rsid w:val="2ED2428A"/>
    <w:rsid w:val="2ED26038"/>
    <w:rsid w:val="2ED81174"/>
    <w:rsid w:val="2EDA4EED"/>
    <w:rsid w:val="2EEA15D4"/>
    <w:rsid w:val="2F05640D"/>
    <w:rsid w:val="2F195A15"/>
    <w:rsid w:val="2F1F6DA3"/>
    <w:rsid w:val="2F2755E4"/>
    <w:rsid w:val="2F39620A"/>
    <w:rsid w:val="2F3F0ED9"/>
    <w:rsid w:val="2F5B1F86"/>
    <w:rsid w:val="2F827A5E"/>
    <w:rsid w:val="2F912594"/>
    <w:rsid w:val="2F9B4F5A"/>
    <w:rsid w:val="2FAF5BAA"/>
    <w:rsid w:val="2FAF6436"/>
    <w:rsid w:val="2FB120F1"/>
    <w:rsid w:val="2FB7522E"/>
    <w:rsid w:val="2FDE6C5E"/>
    <w:rsid w:val="2FE04785"/>
    <w:rsid w:val="3011493E"/>
    <w:rsid w:val="304F147C"/>
    <w:rsid w:val="30722B71"/>
    <w:rsid w:val="30B874AF"/>
    <w:rsid w:val="30CE6A2C"/>
    <w:rsid w:val="30E12562"/>
    <w:rsid w:val="30E2500D"/>
    <w:rsid w:val="311A3CC6"/>
    <w:rsid w:val="313661D4"/>
    <w:rsid w:val="314D5E4A"/>
    <w:rsid w:val="314E47F2"/>
    <w:rsid w:val="315536FF"/>
    <w:rsid w:val="31572824"/>
    <w:rsid w:val="317C7BCE"/>
    <w:rsid w:val="31813D45"/>
    <w:rsid w:val="318C4BC4"/>
    <w:rsid w:val="319728AC"/>
    <w:rsid w:val="31DB5204"/>
    <w:rsid w:val="31F83949"/>
    <w:rsid w:val="31FE5396"/>
    <w:rsid w:val="32476D3D"/>
    <w:rsid w:val="32766BCA"/>
    <w:rsid w:val="328C626F"/>
    <w:rsid w:val="32917FB8"/>
    <w:rsid w:val="32B31CDC"/>
    <w:rsid w:val="32D210D5"/>
    <w:rsid w:val="33093FF2"/>
    <w:rsid w:val="33125B58"/>
    <w:rsid w:val="335A2AA0"/>
    <w:rsid w:val="337D18C1"/>
    <w:rsid w:val="339A6D9C"/>
    <w:rsid w:val="33AF4B9A"/>
    <w:rsid w:val="33B96FA5"/>
    <w:rsid w:val="33D46BA0"/>
    <w:rsid w:val="33F46A50"/>
    <w:rsid w:val="33F7209D"/>
    <w:rsid w:val="340A0022"/>
    <w:rsid w:val="342B1D46"/>
    <w:rsid w:val="343A139C"/>
    <w:rsid w:val="345031E8"/>
    <w:rsid w:val="349072D0"/>
    <w:rsid w:val="34AA3252"/>
    <w:rsid w:val="34AF1EA4"/>
    <w:rsid w:val="34DA5C46"/>
    <w:rsid w:val="34E750E6"/>
    <w:rsid w:val="34EF5164"/>
    <w:rsid w:val="34F767F8"/>
    <w:rsid w:val="35690D78"/>
    <w:rsid w:val="358838F4"/>
    <w:rsid w:val="3599754E"/>
    <w:rsid w:val="35BC534C"/>
    <w:rsid w:val="35DC59EE"/>
    <w:rsid w:val="35F5260C"/>
    <w:rsid w:val="3628478F"/>
    <w:rsid w:val="363F1655"/>
    <w:rsid w:val="364041CF"/>
    <w:rsid w:val="36445382"/>
    <w:rsid w:val="36624145"/>
    <w:rsid w:val="366A124C"/>
    <w:rsid w:val="36855F59"/>
    <w:rsid w:val="36910587"/>
    <w:rsid w:val="369D13B4"/>
    <w:rsid w:val="36AD49D7"/>
    <w:rsid w:val="36C46BAE"/>
    <w:rsid w:val="36EF52AD"/>
    <w:rsid w:val="371A20CB"/>
    <w:rsid w:val="372F7F47"/>
    <w:rsid w:val="37623CD1"/>
    <w:rsid w:val="377834F5"/>
    <w:rsid w:val="379A346B"/>
    <w:rsid w:val="379B15D5"/>
    <w:rsid w:val="37B3277F"/>
    <w:rsid w:val="37B55A0C"/>
    <w:rsid w:val="37CD4314"/>
    <w:rsid w:val="37CE542D"/>
    <w:rsid w:val="37D95311"/>
    <w:rsid w:val="37E13657"/>
    <w:rsid w:val="3809330B"/>
    <w:rsid w:val="3811655F"/>
    <w:rsid w:val="384004B6"/>
    <w:rsid w:val="386341A5"/>
    <w:rsid w:val="387174C8"/>
    <w:rsid w:val="387D5266"/>
    <w:rsid w:val="38BB5D8F"/>
    <w:rsid w:val="38BE762D"/>
    <w:rsid w:val="38C033A5"/>
    <w:rsid w:val="38C84008"/>
    <w:rsid w:val="38CE04EE"/>
    <w:rsid w:val="38D26A82"/>
    <w:rsid w:val="38FC32F5"/>
    <w:rsid w:val="390F44C3"/>
    <w:rsid w:val="39197C6B"/>
    <w:rsid w:val="391B28D2"/>
    <w:rsid w:val="393873DF"/>
    <w:rsid w:val="393B3739"/>
    <w:rsid w:val="39565C38"/>
    <w:rsid w:val="397228F1"/>
    <w:rsid w:val="398A6B77"/>
    <w:rsid w:val="39922CF7"/>
    <w:rsid w:val="39B16385"/>
    <w:rsid w:val="39B5458C"/>
    <w:rsid w:val="39EA6FE8"/>
    <w:rsid w:val="3A046550"/>
    <w:rsid w:val="3A1104FD"/>
    <w:rsid w:val="3A1F310B"/>
    <w:rsid w:val="3A26548A"/>
    <w:rsid w:val="3A3E6C77"/>
    <w:rsid w:val="3A437DEA"/>
    <w:rsid w:val="3A4D6EBA"/>
    <w:rsid w:val="3A5E6007"/>
    <w:rsid w:val="3A6443DE"/>
    <w:rsid w:val="3A6A181A"/>
    <w:rsid w:val="3A871D46"/>
    <w:rsid w:val="3ABE1B66"/>
    <w:rsid w:val="3ACA050B"/>
    <w:rsid w:val="3AD66EB0"/>
    <w:rsid w:val="3B190B4B"/>
    <w:rsid w:val="3B302256"/>
    <w:rsid w:val="3B392C42"/>
    <w:rsid w:val="3B400992"/>
    <w:rsid w:val="3B4402BD"/>
    <w:rsid w:val="3B4958D4"/>
    <w:rsid w:val="3B6B584A"/>
    <w:rsid w:val="3B8E3B9E"/>
    <w:rsid w:val="3BB645EB"/>
    <w:rsid w:val="3BC6175E"/>
    <w:rsid w:val="3BD11425"/>
    <w:rsid w:val="3BDC04F6"/>
    <w:rsid w:val="3BE21884"/>
    <w:rsid w:val="3C066714"/>
    <w:rsid w:val="3C2123AD"/>
    <w:rsid w:val="3C4B6B57"/>
    <w:rsid w:val="3C85293C"/>
    <w:rsid w:val="3C8A1D00"/>
    <w:rsid w:val="3CAD3C40"/>
    <w:rsid w:val="3CBE5E4E"/>
    <w:rsid w:val="3CC82828"/>
    <w:rsid w:val="3CCC15BB"/>
    <w:rsid w:val="3CE748AF"/>
    <w:rsid w:val="3CFEE9EC"/>
    <w:rsid w:val="3D1C4922"/>
    <w:rsid w:val="3D614EFB"/>
    <w:rsid w:val="3D695EAF"/>
    <w:rsid w:val="3D8C4327"/>
    <w:rsid w:val="3D960B78"/>
    <w:rsid w:val="3DA07301"/>
    <w:rsid w:val="3DB1150E"/>
    <w:rsid w:val="3E71234B"/>
    <w:rsid w:val="3E720C9E"/>
    <w:rsid w:val="3E8F505B"/>
    <w:rsid w:val="3E95498C"/>
    <w:rsid w:val="3EA11583"/>
    <w:rsid w:val="3EB32D81"/>
    <w:rsid w:val="3EBA4F1D"/>
    <w:rsid w:val="3ED0092C"/>
    <w:rsid w:val="3ED43706"/>
    <w:rsid w:val="3EE33949"/>
    <w:rsid w:val="3EED2ADA"/>
    <w:rsid w:val="3EFD613F"/>
    <w:rsid w:val="3EFE69D5"/>
    <w:rsid w:val="3F23468E"/>
    <w:rsid w:val="3F3917BB"/>
    <w:rsid w:val="3F626F64"/>
    <w:rsid w:val="3F656A54"/>
    <w:rsid w:val="3F79434E"/>
    <w:rsid w:val="3F8773B7"/>
    <w:rsid w:val="3FA62662"/>
    <w:rsid w:val="3FC04016"/>
    <w:rsid w:val="3FE441B3"/>
    <w:rsid w:val="400022D9"/>
    <w:rsid w:val="401B7113"/>
    <w:rsid w:val="403F2E01"/>
    <w:rsid w:val="404448BC"/>
    <w:rsid w:val="404C551E"/>
    <w:rsid w:val="40905D53"/>
    <w:rsid w:val="40B652F0"/>
    <w:rsid w:val="40DC2D46"/>
    <w:rsid w:val="40E1210B"/>
    <w:rsid w:val="410758DC"/>
    <w:rsid w:val="411E335F"/>
    <w:rsid w:val="412907A1"/>
    <w:rsid w:val="414D154E"/>
    <w:rsid w:val="41517290"/>
    <w:rsid w:val="417148FA"/>
    <w:rsid w:val="41BB48E2"/>
    <w:rsid w:val="41D61543"/>
    <w:rsid w:val="41D8350E"/>
    <w:rsid w:val="41E023C2"/>
    <w:rsid w:val="42213106"/>
    <w:rsid w:val="424D048E"/>
    <w:rsid w:val="426923B8"/>
    <w:rsid w:val="42895E35"/>
    <w:rsid w:val="428B0580"/>
    <w:rsid w:val="42A11B51"/>
    <w:rsid w:val="42CA554C"/>
    <w:rsid w:val="42DF0DC2"/>
    <w:rsid w:val="42E126F9"/>
    <w:rsid w:val="42FC322C"/>
    <w:rsid w:val="430D368B"/>
    <w:rsid w:val="43222DDF"/>
    <w:rsid w:val="433E78CA"/>
    <w:rsid w:val="43490A08"/>
    <w:rsid w:val="434F77FF"/>
    <w:rsid w:val="43606665"/>
    <w:rsid w:val="43A23DD3"/>
    <w:rsid w:val="43B71550"/>
    <w:rsid w:val="43CA332A"/>
    <w:rsid w:val="43CF0940"/>
    <w:rsid w:val="43D83C99"/>
    <w:rsid w:val="43E837B0"/>
    <w:rsid w:val="43EF1CD5"/>
    <w:rsid w:val="43F45D3F"/>
    <w:rsid w:val="44092C4E"/>
    <w:rsid w:val="442742D8"/>
    <w:rsid w:val="444F55DD"/>
    <w:rsid w:val="445C45F0"/>
    <w:rsid w:val="445F1CC4"/>
    <w:rsid w:val="44A45929"/>
    <w:rsid w:val="44D83825"/>
    <w:rsid w:val="450B6255"/>
    <w:rsid w:val="454669E0"/>
    <w:rsid w:val="454B3007"/>
    <w:rsid w:val="454D5FC1"/>
    <w:rsid w:val="456B28EB"/>
    <w:rsid w:val="456C0661"/>
    <w:rsid w:val="457A48DC"/>
    <w:rsid w:val="458A4B1F"/>
    <w:rsid w:val="45A36C7C"/>
    <w:rsid w:val="45BF05A0"/>
    <w:rsid w:val="45C27789"/>
    <w:rsid w:val="45C73FC5"/>
    <w:rsid w:val="45D67D64"/>
    <w:rsid w:val="462E7BA0"/>
    <w:rsid w:val="467632F5"/>
    <w:rsid w:val="46A41C10"/>
    <w:rsid w:val="46C54618"/>
    <w:rsid w:val="46CA3945"/>
    <w:rsid w:val="46E56E89"/>
    <w:rsid w:val="46FF778E"/>
    <w:rsid w:val="472745EF"/>
    <w:rsid w:val="473C62ED"/>
    <w:rsid w:val="47554B02"/>
    <w:rsid w:val="47555600"/>
    <w:rsid w:val="477E22F4"/>
    <w:rsid w:val="47B2035D"/>
    <w:rsid w:val="47B57E4D"/>
    <w:rsid w:val="47DE7B5D"/>
    <w:rsid w:val="48124F71"/>
    <w:rsid w:val="48345216"/>
    <w:rsid w:val="483B438C"/>
    <w:rsid w:val="483C0579"/>
    <w:rsid w:val="484511D1"/>
    <w:rsid w:val="487072EF"/>
    <w:rsid w:val="48855A71"/>
    <w:rsid w:val="4893018E"/>
    <w:rsid w:val="48E94252"/>
    <w:rsid w:val="48F45D6D"/>
    <w:rsid w:val="49042C8A"/>
    <w:rsid w:val="49044BE8"/>
    <w:rsid w:val="492F652F"/>
    <w:rsid w:val="493C0826"/>
    <w:rsid w:val="49415E3C"/>
    <w:rsid w:val="496C5C52"/>
    <w:rsid w:val="496F29A9"/>
    <w:rsid w:val="497A134E"/>
    <w:rsid w:val="498270B3"/>
    <w:rsid w:val="49E406A1"/>
    <w:rsid w:val="49E87801"/>
    <w:rsid w:val="4A1264D9"/>
    <w:rsid w:val="4A275658"/>
    <w:rsid w:val="4A767D68"/>
    <w:rsid w:val="4A9832C6"/>
    <w:rsid w:val="4AB908E2"/>
    <w:rsid w:val="4AD92D96"/>
    <w:rsid w:val="4AEE5B50"/>
    <w:rsid w:val="4B0D06CC"/>
    <w:rsid w:val="4B0E5EB1"/>
    <w:rsid w:val="4B0F4B96"/>
    <w:rsid w:val="4B5A1437"/>
    <w:rsid w:val="4B6865FA"/>
    <w:rsid w:val="4B751DCD"/>
    <w:rsid w:val="4BBB7051"/>
    <w:rsid w:val="4BE13907"/>
    <w:rsid w:val="4BFC429C"/>
    <w:rsid w:val="4C20442F"/>
    <w:rsid w:val="4C2C4B82"/>
    <w:rsid w:val="4C3549DA"/>
    <w:rsid w:val="4C3B4DC5"/>
    <w:rsid w:val="4C416153"/>
    <w:rsid w:val="4C6E069B"/>
    <w:rsid w:val="4C7E1B2B"/>
    <w:rsid w:val="4CAE1A3B"/>
    <w:rsid w:val="4CBC3CCA"/>
    <w:rsid w:val="4CBF7AF9"/>
    <w:rsid w:val="4CD34FFD"/>
    <w:rsid w:val="4CE03BBE"/>
    <w:rsid w:val="4CEC7C35"/>
    <w:rsid w:val="4D0C6761"/>
    <w:rsid w:val="4D1879C1"/>
    <w:rsid w:val="4D1D271C"/>
    <w:rsid w:val="4D573E80"/>
    <w:rsid w:val="4D673998"/>
    <w:rsid w:val="4D875DE8"/>
    <w:rsid w:val="4D9C5D37"/>
    <w:rsid w:val="4DBF3025"/>
    <w:rsid w:val="4DE27BDE"/>
    <w:rsid w:val="4DF94646"/>
    <w:rsid w:val="4E08517B"/>
    <w:rsid w:val="4E231FB4"/>
    <w:rsid w:val="4E6323B1"/>
    <w:rsid w:val="4E6B6EA1"/>
    <w:rsid w:val="4E870795"/>
    <w:rsid w:val="4E8F158A"/>
    <w:rsid w:val="4EC94844"/>
    <w:rsid w:val="4ED71DB4"/>
    <w:rsid w:val="4ED9062F"/>
    <w:rsid w:val="4EF87BDB"/>
    <w:rsid w:val="4EF93FB4"/>
    <w:rsid w:val="4F0040A4"/>
    <w:rsid w:val="4F02066C"/>
    <w:rsid w:val="4F28465E"/>
    <w:rsid w:val="4F284B65"/>
    <w:rsid w:val="4F695861"/>
    <w:rsid w:val="4F766114"/>
    <w:rsid w:val="4F844CD5"/>
    <w:rsid w:val="4FBC446F"/>
    <w:rsid w:val="4FC61429"/>
    <w:rsid w:val="4FEC63D6"/>
    <w:rsid w:val="4FF64A5D"/>
    <w:rsid w:val="50033E4B"/>
    <w:rsid w:val="500A342C"/>
    <w:rsid w:val="500B0F52"/>
    <w:rsid w:val="50117643"/>
    <w:rsid w:val="501871CB"/>
    <w:rsid w:val="50483F54"/>
    <w:rsid w:val="504B7241"/>
    <w:rsid w:val="507C59AC"/>
    <w:rsid w:val="509C1BAA"/>
    <w:rsid w:val="50B415EA"/>
    <w:rsid w:val="50BF5B17"/>
    <w:rsid w:val="50C17863"/>
    <w:rsid w:val="50CA2BBB"/>
    <w:rsid w:val="50D717BE"/>
    <w:rsid w:val="50E0138A"/>
    <w:rsid w:val="50EF617E"/>
    <w:rsid w:val="50F25C6E"/>
    <w:rsid w:val="512322CB"/>
    <w:rsid w:val="512C5624"/>
    <w:rsid w:val="5133250E"/>
    <w:rsid w:val="51463A87"/>
    <w:rsid w:val="51491D32"/>
    <w:rsid w:val="516E79EA"/>
    <w:rsid w:val="5176064D"/>
    <w:rsid w:val="51786173"/>
    <w:rsid w:val="518F170F"/>
    <w:rsid w:val="51B15B29"/>
    <w:rsid w:val="51B56DF8"/>
    <w:rsid w:val="51D3373F"/>
    <w:rsid w:val="51E7154B"/>
    <w:rsid w:val="51E97071"/>
    <w:rsid w:val="521A36CE"/>
    <w:rsid w:val="521D51BC"/>
    <w:rsid w:val="521F3064"/>
    <w:rsid w:val="525210BA"/>
    <w:rsid w:val="52B07B8F"/>
    <w:rsid w:val="52D65847"/>
    <w:rsid w:val="5334495E"/>
    <w:rsid w:val="534704F3"/>
    <w:rsid w:val="53C61CCF"/>
    <w:rsid w:val="53DA4EC3"/>
    <w:rsid w:val="53E144A4"/>
    <w:rsid w:val="53E83463"/>
    <w:rsid w:val="54106B37"/>
    <w:rsid w:val="54322F51"/>
    <w:rsid w:val="545B6043"/>
    <w:rsid w:val="54DA4AA4"/>
    <w:rsid w:val="54ED0C26"/>
    <w:rsid w:val="54FA45B8"/>
    <w:rsid w:val="55012924"/>
    <w:rsid w:val="553B4087"/>
    <w:rsid w:val="55A734CB"/>
    <w:rsid w:val="55AC0E8C"/>
    <w:rsid w:val="55CE071D"/>
    <w:rsid w:val="55D00130"/>
    <w:rsid w:val="55D342C0"/>
    <w:rsid w:val="55DA73FC"/>
    <w:rsid w:val="55F3226C"/>
    <w:rsid w:val="560774C0"/>
    <w:rsid w:val="56133180"/>
    <w:rsid w:val="56226FF5"/>
    <w:rsid w:val="56665134"/>
    <w:rsid w:val="56690780"/>
    <w:rsid w:val="568F6618"/>
    <w:rsid w:val="56913258"/>
    <w:rsid w:val="56955A19"/>
    <w:rsid w:val="56AE4E93"/>
    <w:rsid w:val="56CA7B0E"/>
    <w:rsid w:val="56F24C1A"/>
    <w:rsid w:val="573B0F53"/>
    <w:rsid w:val="575419BE"/>
    <w:rsid w:val="577218B7"/>
    <w:rsid w:val="57877110"/>
    <w:rsid w:val="57923845"/>
    <w:rsid w:val="57C33BB8"/>
    <w:rsid w:val="57C71C02"/>
    <w:rsid w:val="57D13A15"/>
    <w:rsid w:val="57EF4CB5"/>
    <w:rsid w:val="58214533"/>
    <w:rsid w:val="582F7230"/>
    <w:rsid w:val="58306EA5"/>
    <w:rsid w:val="583B146D"/>
    <w:rsid w:val="585316E8"/>
    <w:rsid w:val="58692CBA"/>
    <w:rsid w:val="586E6E66"/>
    <w:rsid w:val="587F1715"/>
    <w:rsid w:val="588F2A1C"/>
    <w:rsid w:val="58AB1524"/>
    <w:rsid w:val="58B52A3A"/>
    <w:rsid w:val="58B91100"/>
    <w:rsid w:val="58CD4FF7"/>
    <w:rsid w:val="58D04AE7"/>
    <w:rsid w:val="58DE3013"/>
    <w:rsid w:val="58FB7F43"/>
    <w:rsid w:val="595924F8"/>
    <w:rsid w:val="59BA391C"/>
    <w:rsid w:val="59C72FE9"/>
    <w:rsid w:val="59C75EEA"/>
    <w:rsid w:val="59CF2FF0"/>
    <w:rsid w:val="59D61BA3"/>
    <w:rsid w:val="59F3663D"/>
    <w:rsid w:val="59FC1290"/>
    <w:rsid w:val="5A0507C0"/>
    <w:rsid w:val="5A41353C"/>
    <w:rsid w:val="5A4A08C9"/>
    <w:rsid w:val="5A5955ED"/>
    <w:rsid w:val="5A6172E4"/>
    <w:rsid w:val="5A6951F3"/>
    <w:rsid w:val="5ABC682F"/>
    <w:rsid w:val="5AC57E95"/>
    <w:rsid w:val="5AE9037D"/>
    <w:rsid w:val="5AF35F89"/>
    <w:rsid w:val="5AFB7B6B"/>
    <w:rsid w:val="5B2555BE"/>
    <w:rsid w:val="5B801B6E"/>
    <w:rsid w:val="5BAB4156"/>
    <w:rsid w:val="5BE72873"/>
    <w:rsid w:val="5BEA75BF"/>
    <w:rsid w:val="5C17056B"/>
    <w:rsid w:val="5C210521"/>
    <w:rsid w:val="5C253C16"/>
    <w:rsid w:val="5C270EC2"/>
    <w:rsid w:val="5C6300BB"/>
    <w:rsid w:val="5C6F4617"/>
    <w:rsid w:val="5C9522CF"/>
    <w:rsid w:val="5C967DF5"/>
    <w:rsid w:val="5CBC1B3E"/>
    <w:rsid w:val="5CCC1072"/>
    <w:rsid w:val="5CD94447"/>
    <w:rsid w:val="5CD94967"/>
    <w:rsid w:val="5CE84AF5"/>
    <w:rsid w:val="5D127168"/>
    <w:rsid w:val="5D506AC9"/>
    <w:rsid w:val="5D5A4ACB"/>
    <w:rsid w:val="5D647EF4"/>
    <w:rsid w:val="5D740137"/>
    <w:rsid w:val="5DB1138B"/>
    <w:rsid w:val="5DB81DEE"/>
    <w:rsid w:val="5E102EB2"/>
    <w:rsid w:val="5E251431"/>
    <w:rsid w:val="5E2558D5"/>
    <w:rsid w:val="5E375EEE"/>
    <w:rsid w:val="5E4778D9"/>
    <w:rsid w:val="5E59557E"/>
    <w:rsid w:val="5E895323"/>
    <w:rsid w:val="5EA7453C"/>
    <w:rsid w:val="5ED01F0B"/>
    <w:rsid w:val="5F0E3129"/>
    <w:rsid w:val="5F1576F7"/>
    <w:rsid w:val="5F416EF6"/>
    <w:rsid w:val="5F4916B0"/>
    <w:rsid w:val="5F5875E4"/>
    <w:rsid w:val="5F593296"/>
    <w:rsid w:val="5F5A217E"/>
    <w:rsid w:val="5F5C70D4"/>
    <w:rsid w:val="5F7A1C50"/>
    <w:rsid w:val="5F8927B9"/>
    <w:rsid w:val="5F8B5C0B"/>
    <w:rsid w:val="5FCC6C5E"/>
    <w:rsid w:val="5FDF0776"/>
    <w:rsid w:val="5FE62E42"/>
    <w:rsid w:val="600B4656"/>
    <w:rsid w:val="60397415"/>
    <w:rsid w:val="603B4F3C"/>
    <w:rsid w:val="60536729"/>
    <w:rsid w:val="60AA20C1"/>
    <w:rsid w:val="60B3541A"/>
    <w:rsid w:val="60CE7B5E"/>
    <w:rsid w:val="611415FC"/>
    <w:rsid w:val="61243C22"/>
    <w:rsid w:val="614E6EF1"/>
    <w:rsid w:val="615C160D"/>
    <w:rsid w:val="6185210C"/>
    <w:rsid w:val="61A30FEA"/>
    <w:rsid w:val="61B52BB6"/>
    <w:rsid w:val="61BF394A"/>
    <w:rsid w:val="61C243C9"/>
    <w:rsid w:val="61D07906"/>
    <w:rsid w:val="61DC62AA"/>
    <w:rsid w:val="61EE2A3A"/>
    <w:rsid w:val="61F94CAB"/>
    <w:rsid w:val="620B4DE2"/>
    <w:rsid w:val="62175534"/>
    <w:rsid w:val="62375BD7"/>
    <w:rsid w:val="62742987"/>
    <w:rsid w:val="6285516C"/>
    <w:rsid w:val="62AE40EB"/>
    <w:rsid w:val="62B808FB"/>
    <w:rsid w:val="62CA25A7"/>
    <w:rsid w:val="62CD0900"/>
    <w:rsid w:val="62EB7913"/>
    <w:rsid w:val="62FB09B2"/>
    <w:rsid w:val="630755A9"/>
    <w:rsid w:val="63100901"/>
    <w:rsid w:val="63236614"/>
    <w:rsid w:val="632919C3"/>
    <w:rsid w:val="6331293E"/>
    <w:rsid w:val="63333EB7"/>
    <w:rsid w:val="63365E8E"/>
    <w:rsid w:val="63414F5F"/>
    <w:rsid w:val="63436839"/>
    <w:rsid w:val="63506F50"/>
    <w:rsid w:val="6356208C"/>
    <w:rsid w:val="63691DC0"/>
    <w:rsid w:val="638906B4"/>
    <w:rsid w:val="638E5CCA"/>
    <w:rsid w:val="63A92B04"/>
    <w:rsid w:val="63AE3C76"/>
    <w:rsid w:val="642F125B"/>
    <w:rsid w:val="64305CB5"/>
    <w:rsid w:val="64373C6C"/>
    <w:rsid w:val="643C1282"/>
    <w:rsid w:val="64410F8F"/>
    <w:rsid w:val="64444FF8"/>
    <w:rsid w:val="644F5459"/>
    <w:rsid w:val="64502F80"/>
    <w:rsid w:val="6457430E"/>
    <w:rsid w:val="645A7A21"/>
    <w:rsid w:val="64610CE9"/>
    <w:rsid w:val="647357A6"/>
    <w:rsid w:val="64790728"/>
    <w:rsid w:val="64835103"/>
    <w:rsid w:val="64B80867"/>
    <w:rsid w:val="64BC27AC"/>
    <w:rsid w:val="64DD2FE4"/>
    <w:rsid w:val="64E47E0D"/>
    <w:rsid w:val="64EC4A56"/>
    <w:rsid w:val="65624D19"/>
    <w:rsid w:val="657442F1"/>
    <w:rsid w:val="65E25469"/>
    <w:rsid w:val="65ED4F2A"/>
    <w:rsid w:val="662B7800"/>
    <w:rsid w:val="663452B0"/>
    <w:rsid w:val="664675B7"/>
    <w:rsid w:val="664803B2"/>
    <w:rsid w:val="664F5A97"/>
    <w:rsid w:val="666304CC"/>
    <w:rsid w:val="66754F1F"/>
    <w:rsid w:val="6698278F"/>
    <w:rsid w:val="669B23CD"/>
    <w:rsid w:val="66A7157D"/>
    <w:rsid w:val="66B15F58"/>
    <w:rsid w:val="66BC48FC"/>
    <w:rsid w:val="66F45E44"/>
    <w:rsid w:val="66FD3A84"/>
    <w:rsid w:val="66FE57C6"/>
    <w:rsid w:val="670A5668"/>
    <w:rsid w:val="67110DC2"/>
    <w:rsid w:val="671E1113"/>
    <w:rsid w:val="6740552D"/>
    <w:rsid w:val="675C250A"/>
    <w:rsid w:val="67A37521"/>
    <w:rsid w:val="67B6134C"/>
    <w:rsid w:val="67BC2E06"/>
    <w:rsid w:val="67BF615D"/>
    <w:rsid w:val="67D27562"/>
    <w:rsid w:val="68022682"/>
    <w:rsid w:val="68152516"/>
    <w:rsid w:val="68246ED4"/>
    <w:rsid w:val="683647B6"/>
    <w:rsid w:val="68752FB5"/>
    <w:rsid w:val="69020CEC"/>
    <w:rsid w:val="691C6622"/>
    <w:rsid w:val="69256789"/>
    <w:rsid w:val="692F7608"/>
    <w:rsid w:val="694C5701"/>
    <w:rsid w:val="69594684"/>
    <w:rsid w:val="697459BD"/>
    <w:rsid w:val="69A26638"/>
    <w:rsid w:val="69B0699A"/>
    <w:rsid w:val="69B30239"/>
    <w:rsid w:val="69B67D29"/>
    <w:rsid w:val="69BD63FA"/>
    <w:rsid w:val="69CA7330"/>
    <w:rsid w:val="69EE49D2"/>
    <w:rsid w:val="6A2E78BF"/>
    <w:rsid w:val="6A3D3FA6"/>
    <w:rsid w:val="6A477FAE"/>
    <w:rsid w:val="6A5A7B71"/>
    <w:rsid w:val="6A7A2B04"/>
    <w:rsid w:val="6A9525EC"/>
    <w:rsid w:val="6A977FEF"/>
    <w:rsid w:val="6AE3108D"/>
    <w:rsid w:val="6B1E7934"/>
    <w:rsid w:val="6B6615D1"/>
    <w:rsid w:val="6B6A054F"/>
    <w:rsid w:val="6B882FFF"/>
    <w:rsid w:val="6B9F7B6E"/>
    <w:rsid w:val="6BCB7ABB"/>
    <w:rsid w:val="6C0515A8"/>
    <w:rsid w:val="6C152AE5"/>
    <w:rsid w:val="6C1F1BB5"/>
    <w:rsid w:val="6C30660C"/>
    <w:rsid w:val="6C510171"/>
    <w:rsid w:val="6C5555D7"/>
    <w:rsid w:val="6C5E5AB6"/>
    <w:rsid w:val="6C627CF4"/>
    <w:rsid w:val="6C9B1499"/>
    <w:rsid w:val="6CBE13CE"/>
    <w:rsid w:val="6CC46057"/>
    <w:rsid w:val="6CD00B93"/>
    <w:rsid w:val="6D0B5229"/>
    <w:rsid w:val="6D0E4172"/>
    <w:rsid w:val="6D2356D5"/>
    <w:rsid w:val="6D294988"/>
    <w:rsid w:val="6D3B4F62"/>
    <w:rsid w:val="6D546402"/>
    <w:rsid w:val="6D605FE2"/>
    <w:rsid w:val="6D716441"/>
    <w:rsid w:val="6D77157D"/>
    <w:rsid w:val="6D944019"/>
    <w:rsid w:val="6DDE4FBC"/>
    <w:rsid w:val="6DE2733E"/>
    <w:rsid w:val="6E0F17B6"/>
    <w:rsid w:val="6E2540EF"/>
    <w:rsid w:val="6E491A2F"/>
    <w:rsid w:val="6E8F0134"/>
    <w:rsid w:val="6EC033A1"/>
    <w:rsid w:val="6ED742C8"/>
    <w:rsid w:val="6F0626E6"/>
    <w:rsid w:val="6F165D50"/>
    <w:rsid w:val="6F1A6664"/>
    <w:rsid w:val="6F29122F"/>
    <w:rsid w:val="6F5222A2"/>
    <w:rsid w:val="6F59718C"/>
    <w:rsid w:val="6F857F81"/>
    <w:rsid w:val="6F9219A4"/>
    <w:rsid w:val="6FA32AFD"/>
    <w:rsid w:val="6FD131C7"/>
    <w:rsid w:val="6FE4258E"/>
    <w:rsid w:val="6FF46EB5"/>
    <w:rsid w:val="7016394C"/>
    <w:rsid w:val="701B0AEA"/>
    <w:rsid w:val="70311EB7"/>
    <w:rsid w:val="70862203"/>
    <w:rsid w:val="708A15C7"/>
    <w:rsid w:val="709D12FB"/>
    <w:rsid w:val="70CE7706"/>
    <w:rsid w:val="70E76A1A"/>
    <w:rsid w:val="70EC5DDE"/>
    <w:rsid w:val="7104137A"/>
    <w:rsid w:val="7104661F"/>
    <w:rsid w:val="71094BE2"/>
    <w:rsid w:val="7110687D"/>
    <w:rsid w:val="711F7F62"/>
    <w:rsid w:val="712F289B"/>
    <w:rsid w:val="71510787"/>
    <w:rsid w:val="7151758B"/>
    <w:rsid w:val="71576171"/>
    <w:rsid w:val="716F0EE9"/>
    <w:rsid w:val="717715C3"/>
    <w:rsid w:val="717B5AE0"/>
    <w:rsid w:val="717E737E"/>
    <w:rsid w:val="719552FF"/>
    <w:rsid w:val="71A1306D"/>
    <w:rsid w:val="71CF6311"/>
    <w:rsid w:val="71E35433"/>
    <w:rsid w:val="726522EC"/>
    <w:rsid w:val="72734A0C"/>
    <w:rsid w:val="72914E8F"/>
    <w:rsid w:val="72A9136A"/>
    <w:rsid w:val="72B9329B"/>
    <w:rsid w:val="72D1172F"/>
    <w:rsid w:val="72D74FAB"/>
    <w:rsid w:val="72D76045"/>
    <w:rsid w:val="72E65772"/>
    <w:rsid w:val="72F928D5"/>
    <w:rsid w:val="72FD2525"/>
    <w:rsid w:val="7344546D"/>
    <w:rsid w:val="73497518"/>
    <w:rsid w:val="734D525A"/>
    <w:rsid w:val="7366709D"/>
    <w:rsid w:val="736D3206"/>
    <w:rsid w:val="7392667F"/>
    <w:rsid w:val="739D3557"/>
    <w:rsid w:val="73A56E44"/>
    <w:rsid w:val="73AD5CF9"/>
    <w:rsid w:val="73B13A3B"/>
    <w:rsid w:val="73BF0CB3"/>
    <w:rsid w:val="73CA4C19"/>
    <w:rsid w:val="73F12089"/>
    <w:rsid w:val="73FB6A64"/>
    <w:rsid w:val="74065015"/>
    <w:rsid w:val="74194A6B"/>
    <w:rsid w:val="7422193C"/>
    <w:rsid w:val="74257F85"/>
    <w:rsid w:val="742F670E"/>
    <w:rsid w:val="74315AC9"/>
    <w:rsid w:val="743300AB"/>
    <w:rsid w:val="74424693"/>
    <w:rsid w:val="74A0760B"/>
    <w:rsid w:val="74C26E48"/>
    <w:rsid w:val="750477ED"/>
    <w:rsid w:val="752A613E"/>
    <w:rsid w:val="75330480"/>
    <w:rsid w:val="754E350B"/>
    <w:rsid w:val="75671ED7"/>
    <w:rsid w:val="757840E4"/>
    <w:rsid w:val="75BA690B"/>
    <w:rsid w:val="7621652A"/>
    <w:rsid w:val="76320737"/>
    <w:rsid w:val="764346F2"/>
    <w:rsid w:val="76571277"/>
    <w:rsid w:val="766B0EFF"/>
    <w:rsid w:val="766D5162"/>
    <w:rsid w:val="76A2761C"/>
    <w:rsid w:val="76A54F94"/>
    <w:rsid w:val="76C63CAF"/>
    <w:rsid w:val="76DE441B"/>
    <w:rsid w:val="76FE0619"/>
    <w:rsid w:val="770C6B46"/>
    <w:rsid w:val="772462D2"/>
    <w:rsid w:val="77514BED"/>
    <w:rsid w:val="77B5517C"/>
    <w:rsid w:val="77B87AD6"/>
    <w:rsid w:val="77D73344"/>
    <w:rsid w:val="77E7421E"/>
    <w:rsid w:val="77EB6DF0"/>
    <w:rsid w:val="77F3025C"/>
    <w:rsid w:val="77FF07FF"/>
    <w:rsid w:val="78144598"/>
    <w:rsid w:val="78205781"/>
    <w:rsid w:val="786B1CDE"/>
    <w:rsid w:val="78745037"/>
    <w:rsid w:val="789F0C53"/>
    <w:rsid w:val="78A70F68"/>
    <w:rsid w:val="78BE1519"/>
    <w:rsid w:val="78D06B47"/>
    <w:rsid w:val="78DB5DFD"/>
    <w:rsid w:val="78E41F7C"/>
    <w:rsid w:val="78F817C4"/>
    <w:rsid w:val="790C34C1"/>
    <w:rsid w:val="793B7903"/>
    <w:rsid w:val="7950097F"/>
    <w:rsid w:val="799A775C"/>
    <w:rsid w:val="79B646C7"/>
    <w:rsid w:val="79C107B1"/>
    <w:rsid w:val="79C618C2"/>
    <w:rsid w:val="79DF4732"/>
    <w:rsid w:val="79FF7A82"/>
    <w:rsid w:val="7A1F1F5A"/>
    <w:rsid w:val="7A3A0597"/>
    <w:rsid w:val="7A5E5F9F"/>
    <w:rsid w:val="7A927198"/>
    <w:rsid w:val="7AC7547F"/>
    <w:rsid w:val="7AF83CFD"/>
    <w:rsid w:val="7B114DBF"/>
    <w:rsid w:val="7B31720F"/>
    <w:rsid w:val="7B4927AB"/>
    <w:rsid w:val="7B657452"/>
    <w:rsid w:val="7B684125"/>
    <w:rsid w:val="7B70785B"/>
    <w:rsid w:val="7B75534E"/>
    <w:rsid w:val="7B910F06"/>
    <w:rsid w:val="7BC42654"/>
    <w:rsid w:val="7BCB7664"/>
    <w:rsid w:val="7BD323FA"/>
    <w:rsid w:val="7BF5023D"/>
    <w:rsid w:val="7C1D7794"/>
    <w:rsid w:val="7C330D65"/>
    <w:rsid w:val="7C506DEC"/>
    <w:rsid w:val="7C52743D"/>
    <w:rsid w:val="7C5644E1"/>
    <w:rsid w:val="7C734B01"/>
    <w:rsid w:val="7C864969"/>
    <w:rsid w:val="7C9673F2"/>
    <w:rsid w:val="7CA43D7A"/>
    <w:rsid w:val="7CAD4FBB"/>
    <w:rsid w:val="7CDE5175"/>
    <w:rsid w:val="7CF8248D"/>
    <w:rsid w:val="7D04348A"/>
    <w:rsid w:val="7D67262D"/>
    <w:rsid w:val="7D697134"/>
    <w:rsid w:val="7DAE7CF4"/>
    <w:rsid w:val="7DB72C94"/>
    <w:rsid w:val="7DC205F3"/>
    <w:rsid w:val="7DCE69B8"/>
    <w:rsid w:val="7E235E07"/>
    <w:rsid w:val="7E2369FE"/>
    <w:rsid w:val="7E562FB6"/>
    <w:rsid w:val="7E56399B"/>
    <w:rsid w:val="7E63609E"/>
    <w:rsid w:val="7E6F077A"/>
    <w:rsid w:val="7E7A5206"/>
    <w:rsid w:val="7E970D8E"/>
    <w:rsid w:val="7EA30C18"/>
    <w:rsid w:val="7EAD3628"/>
    <w:rsid w:val="7EAD4E8C"/>
    <w:rsid w:val="7EC3036F"/>
    <w:rsid w:val="7EC34622"/>
    <w:rsid w:val="7ECF3E33"/>
    <w:rsid w:val="7ED14F91"/>
    <w:rsid w:val="7EFB3DBC"/>
    <w:rsid w:val="7EFF60BF"/>
    <w:rsid w:val="7F0945F7"/>
    <w:rsid w:val="7F221A33"/>
    <w:rsid w:val="7F2C21C3"/>
    <w:rsid w:val="7F405C73"/>
    <w:rsid w:val="7F4F70A7"/>
    <w:rsid w:val="7F7D2A23"/>
    <w:rsid w:val="7F7D4E4C"/>
    <w:rsid w:val="7F820039"/>
    <w:rsid w:val="7F9B692B"/>
    <w:rsid w:val="7FA9780B"/>
    <w:rsid w:val="F7FAF49E"/>
    <w:rsid w:val="FCCF7A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9"/>
    <w:pPr>
      <w:keepNext/>
      <w:keepLines/>
      <w:spacing w:before="260" w:after="260" w:line="416" w:lineRule="auto"/>
      <w:outlineLvl w:val="1"/>
    </w:pPr>
    <w:rPr>
      <w:rFonts w:ascii="等线 Light" w:hAnsi="等线 Light" w:eastAsia="等线 Light"/>
      <w:b/>
      <w:bCs/>
      <w:sz w:val="32"/>
      <w:szCs w:val="32"/>
    </w:rPr>
  </w:style>
  <w:style w:type="character" w:default="1" w:styleId="19">
    <w:name w:val="Default Paragraph Font"/>
    <w:autoRedefine/>
    <w:semiHidden/>
    <w:unhideWhenUsed/>
    <w:qFormat/>
    <w:uiPriority w:val="1"/>
  </w:style>
  <w:style w:type="table" w:default="1" w:styleId="17">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autoRedefine/>
    <w:unhideWhenUsed/>
    <w:qFormat/>
    <w:uiPriority w:val="99"/>
    <w:pPr>
      <w:ind w:firstLine="420" w:firstLineChars="200"/>
    </w:pPr>
    <w:rPr>
      <w:rFonts w:ascii="Calibri" w:hAnsi="Calibri"/>
    </w:rPr>
  </w:style>
  <w:style w:type="paragraph" w:styleId="5">
    <w:name w:val="annotation text"/>
    <w:basedOn w:val="1"/>
    <w:autoRedefine/>
    <w:qFormat/>
    <w:uiPriority w:val="0"/>
    <w:pPr>
      <w:jc w:val="left"/>
    </w:pPr>
  </w:style>
  <w:style w:type="paragraph" w:styleId="6">
    <w:name w:val="Body Text"/>
    <w:basedOn w:val="1"/>
    <w:autoRedefine/>
    <w:semiHidden/>
    <w:qFormat/>
    <w:uiPriority w:val="0"/>
    <w:rPr>
      <w:rFonts w:ascii="宋体" w:hAnsi="宋体" w:cs="宋体"/>
      <w:sz w:val="19"/>
      <w:szCs w:val="19"/>
      <w:lang w:eastAsia="en-US"/>
    </w:rPr>
  </w:style>
  <w:style w:type="paragraph" w:styleId="7">
    <w:name w:val="Plain Text"/>
    <w:autoRedefine/>
    <w:qFormat/>
    <w:uiPriority w:val="0"/>
    <w:pPr>
      <w:widowControl w:val="0"/>
      <w:jc w:val="both"/>
    </w:pPr>
    <w:rPr>
      <w:rFonts w:ascii="宋体" w:hAnsi="Courier New" w:eastAsia="宋体" w:cs="Times New Roman"/>
      <w:kern w:val="2"/>
      <w:sz w:val="21"/>
      <w:lang w:val="en-US" w:eastAsia="zh-CN" w:bidi="ar-SA"/>
    </w:rPr>
  </w:style>
  <w:style w:type="paragraph" w:styleId="8">
    <w:name w:val="Date"/>
    <w:basedOn w:val="1"/>
    <w:next w:val="1"/>
    <w:autoRedefine/>
    <w:qFormat/>
    <w:uiPriority w:val="0"/>
    <w:pPr>
      <w:ind w:left="100" w:leftChars="2500"/>
    </w:pPr>
  </w:style>
  <w:style w:type="paragraph" w:styleId="9">
    <w:name w:val="Body Text Indent 2"/>
    <w:basedOn w:val="1"/>
    <w:autoRedefine/>
    <w:qFormat/>
    <w:uiPriority w:val="0"/>
    <w:pPr>
      <w:spacing w:after="120" w:line="480" w:lineRule="auto"/>
      <w:ind w:left="420" w:leftChars="200"/>
    </w:pPr>
  </w:style>
  <w:style w:type="paragraph" w:styleId="10">
    <w:name w:val="Balloon Text"/>
    <w:basedOn w:val="1"/>
    <w:autoRedefine/>
    <w:semiHidden/>
    <w:qFormat/>
    <w:uiPriority w:val="0"/>
    <w:rPr>
      <w:sz w:val="18"/>
      <w:szCs w:val="18"/>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0"/>
  </w:style>
  <w:style w:type="paragraph" w:styleId="14">
    <w:name w:val="Body Text Indent 3"/>
    <w:autoRedefine/>
    <w:qFormat/>
    <w:uiPriority w:val="0"/>
    <w:pPr>
      <w:widowControl w:val="0"/>
      <w:spacing w:after="120"/>
      <w:ind w:left="420" w:leftChars="200"/>
      <w:jc w:val="both"/>
    </w:pPr>
    <w:rPr>
      <w:rFonts w:ascii="Times New Roman" w:hAnsi="Times New Roman" w:eastAsia="宋体" w:cs="Times New Roman"/>
      <w:kern w:val="2"/>
      <w:sz w:val="16"/>
      <w:szCs w:val="16"/>
      <w:lang w:val="en-US" w:eastAsia="zh-CN" w:bidi="ar-SA"/>
    </w:rPr>
  </w:style>
  <w:style w:type="paragraph" w:styleId="15">
    <w:name w:val="toc 2"/>
    <w:basedOn w:val="1"/>
    <w:next w:val="1"/>
    <w:autoRedefine/>
    <w:qFormat/>
    <w:uiPriority w:val="0"/>
    <w:pPr>
      <w:ind w:left="420" w:leftChars="200"/>
    </w:pPr>
  </w:style>
  <w:style w:type="paragraph" w:styleId="16">
    <w:name w:val="Normal (Web)"/>
    <w:basedOn w:val="1"/>
    <w:autoRedefine/>
    <w:qFormat/>
    <w:uiPriority w:val="0"/>
    <w:pPr>
      <w:spacing w:before="100" w:beforeAutospacing="1" w:after="100" w:afterAutospacing="1"/>
    </w:pPr>
    <w:rPr>
      <w:rFonts w:ascii="宋体" w:hAnsi="宋体" w:cs="宋体"/>
      <w:sz w:val="24"/>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page number"/>
    <w:basedOn w:val="19"/>
    <w:autoRedefine/>
    <w:qFormat/>
    <w:uiPriority w:val="0"/>
  </w:style>
  <w:style w:type="paragraph" w:customStyle="1" w:styleId="21">
    <w:name w:val="Char Char1 Char Char1 Char Char Char Char Char Char"/>
    <w:basedOn w:val="1"/>
    <w:autoRedefine/>
    <w:qFormat/>
    <w:uiPriority w:val="0"/>
    <w:pPr>
      <w:widowControl/>
      <w:spacing w:after="160" w:line="240" w:lineRule="exact"/>
      <w:jc w:val="left"/>
    </w:pPr>
    <w:rPr>
      <w:szCs w:val="20"/>
    </w:rPr>
  </w:style>
  <w:style w:type="paragraph" w:customStyle="1" w:styleId="22">
    <w:name w:val="一、"/>
    <w:autoRedefine/>
    <w:qFormat/>
    <w:uiPriority w:val="0"/>
    <w:pPr>
      <w:widowControl w:val="0"/>
      <w:jc w:val="center"/>
    </w:pPr>
    <w:rPr>
      <w:rFonts w:ascii="Times New Roman" w:hAnsi="Times New Roman" w:eastAsia="宋体" w:cs="Times New Roman"/>
      <w:kern w:val="2"/>
      <w:sz w:val="18"/>
      <w:lang w:val="en-US" w:eastAsia="zh-CN" w:bidi="ar-SA"/>
    </w:rPr>
  </w:style>
  <w:style w:type="table" w:customStyle="1" w:styleId="23">
    <w:name w:val="Table Normal"/>
    <w:autoRedefine/>
    <w:semiHidden/>
    <w:unhideWhenUsed/>
    <w:qFormat/>
    <w:uiPriority w:val="0"/>
    <w:tblPr>
      <w:tblCellMar>
        <w:top w:w="0" w:type="dxa"/>
        <w:left w:w="0" w:type="dxa"/>
        <w:bottom w:w="0" w:type="dxa"/>
        <w:right w:w="0" w:type="dxa"/>
      </w:tblCellMar>
    </w:tblPr>
  </w:style>
  <w:style w:type="paragraph" w:customStyle="1" w:styleId="24">
    <w:name w:val="Table Text"/>
    <w:basedOn w:val="1"/>
    <w:autoRedefine/>
    <w:semiHidden/>
    <w:qFormat/>
    <w:uiPriority w:val="0"/>
    <w:rPr>
      <w:rFonts w:ascii="Arial" w:hAnsi="Arial" w:eastAsia="Arial" w:cs="Arial"/>
      <w:szCs w:val="21"/>
      <w:lang w:eastAsia="en-US"/>
    </w:rPr>
  </w:style>
  <w:style w:type="paragraph" w:customStyle="1" w:styleId="25">
    <w:name w:val="MSG_EN_FONT_STYLE_NAME_TEMPLATE_ROLE_NUMBER MSG_EN_FONT_STYLE_NAME_BY_ROLE_TEXT 21"/>
    <w:basedOn w:val="1"/>
    <w:autoRedefine/>
    <w:qFormat/>
    <w:uiPriority w:val="0"/>
    <w:pPr>
      <w:shd w:val="clear" w:color="auto" w:fill="FFFFFF"/>
      <w:spacing w:before="480" w:line="466" w:lineRule="exact"/>
      <w:jc w:val="distribute"/>
    </w:pPr>
    <w:rPr>
      <w:rFonts w:ascii="宋体" w:hAnsi="宋体" w:cs="宋体"/>
      <w:sz w:val="22"/>
      <w:szCs w:val="22"/>
    </w:rPr>
  </w:style>
  <w:style w:type="paragraph" w:customStyle="1" w:styleId="26">
    <w:name w:val="Body text|1"/>
    <w:basedOn w:val="1"/>
    <w:autoRedefine/>
    <w:qFormat/>
    <w:uiPriority w:val="0"/>
    <w:pPr>
      <w:spacing w:line="456" w:lineRule="auto"/>
      <w:ind w:firstLine="400"/>
    </w:pPr>
    <w:rPr>
      <w:rFonts w:ascii="宋体" w:hAnsi="宋体" w:cs="宋体"/>
      <w:lang w:val="zh-TW" w:eastAsia="zh-TW" w:bidi="zh-TW"/>
    </w:rPr>
  </w:style>
  <w:style w:type="paragraph" w:customStyle="1" w:styleId="27">
    <w:name w:val="样式1"/>
    <w:basedOn w:val="1"/>
    <w:autoRedefine/>
    <w:qFormat/>
    <w:uiPriority w:val="0"/>
    <w:pPr>
      <w:kinsoku w:val="0"/>
      <w:autoSpaceDE w:val="0"/>
      <w:autoSpaceDN w:val="0"/>
      <w:adjustRightInd w:val="0"/>
      <w:snapToGrid w:val="0"/>
      <w:jc w:val="left"/>
      <w:textAlignment w:val="baseline"/>
    </w:pPr>
    <w:rPr>
      <w:color w:val="000000"/>
      <w:kern w:val="0"/>
      <w:szCs w:val="21"/>
    </w:rPr>
  </w:style>
  <w:style w:type="paragraph" w:customStyle="1" w:styleId="28">
    <w:name w:val="WPSOffice手动目录 3"/>
    <w:autoRedefine/>
    <w:qFormat/>
    <w:uiPriority w:val="0"/>
    <w:pPr>
      <w:ind w:left="400" w:leftChars="400"/>
    </w:pPr>
    <w:rPr>
      <w:rFonts w:ascii="Arial" w:hAnsi="Arial" w:eastAsia="Arial" w:cs="Arial"/>
      <w:lang w:val="en-US" w:eastAsia="zh-CN" w:bidi="ar-SA"/>
    </w:rPr>
  </w:style>
  <w:style w:type="paragraph" w:customStyle="1" w:styleId="29">
    <w:name w:val="Table Paragraph"/>
    <w:basedOn w:val="1"/>
    <w:autoRedefine/>
    <w:qFormat/>
    <w:uiPriority w:val="1"/>
    <w:rPr>
      <w:rFonts w:ascii="Arial Unicode MS" w:hAnsi="Arial Unicode MS" w:eastAsia="Arial Unicode MS" w:cs="Arial Unicode MS"/>
      <w:lang w:val="zh-CN" w:bidi="zh-CN"/>
    </w:rPr>
  </w:style>
  <w:style w:type="paragraph" w:customStyle="1" w:styleId="30">
    <w:name w:val="样式 小四 行距: 1.5 倍行距"/>
    <w:basedOn w:val="1"/>
    <w:autoRedefine/>
    <w:qFormat/>
    <w:uiPriority w:val="0"/>
    <w:pPr>
      <w:spacing w:line="360" w:lineRule="auto"/>
    </w:pPr>
    <w:rPr>
      <w:sz w:val="24"/>
    </w:rPr>
  </w:style>
  <w:style w:type="paragraph" w:customStyle="1" w:styleId="31">
    <w:name w:val="WPSOffice手动目录 1"/>
    <w:autoRedefine/>
    <w:qFormat/>
    <w:uiPriority w:val="0"/>
    <w:pPr>
      <w:ind w:leftChars="0"/>
    </w:pPr>
    <w:rPr>
      <w:rFonts w:ascii="Times New Roman" w:hAnsi="Times New Roman" w:eastAsia="宋体" w:cs="Times New Roman"/>
      <w:sz w:val="20"/>
      <w:szCs w:val="20"/>
    </w:rPr>
  </w:style>
  <w:style w:type="paragraph" w:customStyle="1" w:styleId="32">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51</Pages>
  <Words>22359</Words>
  <Characters>23119</Characters>
  <Lines>513</Lines>
  <Paragraphs>144</Paragraphs>
  <TotalTime>14</TotalTime>
  <ScaleCrop>false</ScaleCrop>
  <LinksUpToDate>false</LinksUpToDate>
  <CharactersWithSpaces>23555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2023-08-29T16:31:00Z</dcterms:created>
  <dc:creator>文印1</dc:creator>
  <cp:lastModifiedBy>米斯特李小李</cp:lastModifiedBy>
  <cp:lastPrinted>2023-09-04T18:29:00Z</cp:lastPrinted>
  <dcterms:modified xsi:type="dcterms:W3CDTF">2024-03-25T06:05:20Z</dcterms:modified>
  <dc:title>000001</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41CAEC2E73A745F7977C9425CA96E53A_13</vt:lpwstr>
  </property>
</Properties>
</file>