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456AD">
      <w:pPr>
        <w:pStyle w:val="2"/>
        <w:keepNext w:val="0"/>
        <w:keepLines w:val="0"/>
        <w:pageBreakBefore w:val="0"/>
        <w:kinsoku/>
        <w:wordWrap/>
        <w:overflowPunct/>
        <w:topLinePunct w:val="0"/>
        <w:bidi w:val="0"/>
        <w:spacing w:line="560" w:lineRule="exact"/>
        <w:ind w:left="0" w:right="0" w:firstLine="400" w:firstLineChars="200"/>
        <w:rPr>
          <w:rFonts w:ascii="Times New Roman"/>
          <w:b w:val="0"/>
          <w:bCs w:val="0"/>
          <w:spacing w:val="0"/>
          <w:kern w:val="56"/>
          <w:sz w:val="20"/>
        </w:rPr>
      </w:pPr>
      <w:bookmarkStart w:id="0" w:name="_top"/>
      <w:bookmarkEnd w:id="0"/>
    </w:p>
    <w:p w14:paraId="0E6BEF51">
      <w:pPr>
        <w:keepNext w:val="0"/>
        <w:keepLines w:val="0"/>
        <w:pageBreakBefore w:val="0"/>
        <w:kinsoku/>
        <w:wordWrap/>
        <w:overflowPunct/>
        <w:topLinePunct w:val="0"/>
        <w:bidi w:val="0"/>
        <w:spacing w:line="560" w:lineRule="exact"/>
        <w:ind w:left="0" w:right="0" w:firstLine="1040" w:firstLineChars="200"/>
        <w:jc w:val="center"/>
        <w:rPr>
          <w:rFonts w:hint="eastAsia" w:ascii="黑体" w:hAnsi="黑体" w:eastAsia="黑体"/>
          <w:b w:val="0"/>
          <w:bCs w:val="0"/>
          <w:spacing w:val="0"/>
          <w:kern w:val="56"/>
          <w:sz w:val="52"/>
          <w:szCs w:val="52"/>
        </w:rPr>
      </w:pPr>
      <w:r>
        <w:rPr>
          <w:rFonts w:hint="eastAsia" w:ascii="黑体" w:hAnsi="黑体" w:eastAsia="黑体"/>
          <w:b w:val="0"/>
          <w:bCs w:val="0"/>
          <w:spacing w:val="0"/>
          <w:kern w:val="56"/>
          <w:sz w:val="52"/>
          <w:szCs w:val="52"/>
          <w:lang w:val="en-US" w:eastAsia="zh-CN"/>
        </w:rPr>
        <w:t>火电厂热力设备运行与检修</w:t>
      </w:r>
      <w:r>
        <w:rPr>
          <w:rFonts w:hint="eastAsia" w:ascii="黑体" w:hAnsi="黑体" w:eastAsia="黑体"/>
          <w:b w:val="0"/>
          <w:bCs w:val="0"/>
          <w:spacing w:val="0"/>
          <w:kern w:val="56"/>
          <w:sz w:val="52"/>
          <w:szCs w:val="52"/>
        </w:rPr>
        <w:t>专业</w:t>
      </w:r>
    </w:p>
    <w:p w14:paraId="3B5DAFD6">
      <w:pPr>
        <w:keepNext w:val="0"/>
        <w:keepLines w:val="0"/>
        <w:pageBreakBefore w:val="0"/>
        <w:kinsoku/>
        <w:wordWrap/>
        <w:overflowPunct/>
        <w:topLinePunct w:val="0"/>
        <w:bidi w:val="0"/>
        <w:spacing w:line="560" w:lineRule="exact"/>
        <w:ind w:left="0" w:right="0" w:firstLine="1040" w:firstLineChars="200"/>
        <w:jc w:val="center"/>
        <w:rPr>
          <w:rFonts w:ascii="黑体" w:hAnsi="黑体" w:eastAsia="黑体"/>
          <w:b w:val="0"/>
          <w:bCs w:val="0"/>
          <w:spacing w:val="0"/>
          <w:kern w:val="56"/>
          <w:sz w:val="52"/>
          <w:szCs w:val="52"/>
        </w:rPr>
      </w:pPr>
      <w:r>
        <w:rPr>
          <w:rFonts w:hint="eastAsia" w:ascii="黑体" w:hAnsi="黑体" w:eastAsia="黑体"/>
          <w:b w:val="0"/>
          <w:bCs w:val="0"/>
          <w:spacing w:val="0"/>
          <w:kern w:val="56"/>
          <w:sz w:val="52"/>
          <w:szCs w:val="52"/>
        </w:rPr>
        <w:t>人才培养方案</w:t>
      </w:r>
    </w:p>
    <w:p w14:paraId="686F8808">
      <w:pPr>
        <w:pStyle w:val="2"/>
        <w:keepNext w:val="0"/>
        <w:keepLines w:val="0"/>
        <w:pageBreakBefore w:val="0"/>
        <w:kinsoku/>
        <w:wordWrap/>
        <w:overflowPunct/>
        <w:topLinePunct w:val="0"/>
        <w:bidi w:val="0"/>
        <w:spacing w:line="560" w:lineRule="exact"/>
        <w:ind w:left="0" w:right="0" w:firstLine="400" w:firstLineChars="200"/>
        <w:rPr>
          <w:rFonts w:ascii="方正小标宋简体"/>
          <w:b w:val="0"/>
          <w:bCs w:val="0"/>
          <w:spacing w:val="0"/>
          <w:kern w:val="56"/>
          <w:sz w:val="20"/>
        </w:rPr>
      </w:pPr>
    </w:p>
    <w:p w14:paraId="680D5956">
      <w:pPr>
        <w:pStyle w:val="2"/>
        <w:keepNext w:val="0"/>
        <w:keepLines w:val="0"/>
        <w:pageBreakBefore w:val="0"/>
        <w:kinsoku/>
        <w:wordWrap/>
        <w:overflowPunct/>
        <w:topLinePunct w:val="0"/>
        <w:bidi w:val="0"/>
        <w:spacing w:line="560" w:lineRule="exact"/>
        <w:ind w:left="0" w:right="0" w:firstLine="400" w:firstLineChars="200"/>
        <w:rPr>
          <w:rFonts w:ascii="方正小标宋简体"/>
          <w:b w:val="0"/>
          <w:bCs w:val="0"/>
          <w:spacing w:val="0"/>
          <w:kern w:val="56"/>
          <w:sz w:val="20"/>
        </w:rPr>
      </w:pPr>
    </w:p>
    <w:p w14:paraId="45CF3397">
      <w:pPr>
        <w:pStyle w:val="2"/>
        <w:keepNext w:val="0"/>
        <w:keepLines w:val="0"/>
        <w:pageBreakBefore w:val="0"/>
        <w:kinsoku/>
        <w:wordWrap/>
        <w:overflowPunct/>
        <w:topLinePunct w:val="0"/>
        <w:bidi w:val="0"/>
        <w:spacing w:line="560" w:lineRule="exact"/>
        <w:ind w:left="0" w:right="0" w:firstLine="400" w:firstLineChars="200"/>
        <w:rPr>
          <w:rFonts w:ascii="方正小标宋简体"/>
          <w:b w:val="0"/>
          <w:bCs w:val="0"/>
          <w:spacing w:val="0"/>
          <w:kern w:val="56"/>
          <w:sz w:val="20"/>
        </w:rPr>
      </w:pPr>
    </w:p>
    <w:p w14:paraId="45AA7425">
      <w:pPr>
        <w:pStyle w:val="2"/>
        <w:keepNext w:val="0"/>
        <w:keepLines w:val="0"/>
        <w:pageBreakBefore w:val="0"/>
        <w:kinsoku/>
        <w:wordWrap/>
        <w:overflowPunct/>
        <w:topLinePunct w:val="0"/>
        <w:bidi w:val="0"/>
        <w:spacing w:line="560" w:lineRule="exact"/>
        <w:ind w:left="0" w:right="0" w:firstLine="400" w:firstLineChars="200"/>
        <w:rPr>
          <w:rFonts w:ascii="方正小标宋简体"/>
          <w:b w:val="0"/>
          <w:bCs w:val="0"/>
          <w:spacing w:val="0"/>
          <w:kern w:val="56"/>
          <w:sz w:val="20"/>
        </w:rPr>
      </w:pPr>
    </w:p>
    <w:p w14:paraId="21C4EEA8">
      <w:pPr>
        <w:pStyle w:val="2"/>
        <w:keepNext w:val="0"/>
        <w:keepLines w:val="0"/>
        <w:pageBreakBefore w:val="0"/>
        <w:kinsoku/>
        <w:wordWrap/>
        <w:overflowPunct/>
        <w:topLinePunct w:val="0"/>
        <w:bidi w:val="0"/>
        <w:spacing w:line="560" w:lineRule="exact"/>
        <w:ind w:left="0" w:leftChars="0" w:right="0" w:firstLine="0" w:firstLineChars="0"/>
        <w:rPr>
          <w:rFonts w:ascii="方正小标宋简体"/>
          <w:b w:val="0"/>
          <w:bCs w:val="0"/>
          <w:spacing w:val="0"/>
          <w:kern w:val="56"/>
          <w:sz w:val="20"/>
        </w:rPr>
      </w:pPr>
    </w:p>
    <w:p w14:paraId="4AB4FE3D">
      <w:pPr>
        <w:pStyle w:val="2"/>
        <w:keepNext w:val="0"/>
        <w:keepLines w:val="0"/>
        <w:pageBreakBefore w:val="0"/>
        <w:kinsoku/>
        <w:wordWrap/>
        <w:overflowPunct/>
        <w:topLinePunct w:val="0"/>
        <w:bidi w:val="0"/>
        <w:spacing w:line="560" w:lineRule="exact"/>
        <w:ind w:left="0" w:right="0" w:firstLine="400" w:firstLineChars="200"/>
        <w:rPr>
          <w:rFonts w:ascii="方正小标宋简体"/>
          <w:b w:val="0"/>
          <w:bCs w:val="0"/>
          <w:spacing w:val="0"/>
          <w:kern w:val="56"/>
          <w:sz w:val="20"/>
        </w:rPr>
      </w:pPr>
    </w:p>
    <w:p w14:paraId="604458AA">
      <w:pPr>
        <w:pStyle w:val="2"/>
        <w:keepNext w:val="0"/>
        <w:keepLines w:val="0"/>
        <w:pageBreakBefore w:val="0"/>
        <w:kinsoku/>
        <w:wordWrap/>
        <w:overflowPunct/>
        <w:topLinePunct w:val="0"/>
        <w:bidi w:val="0"/>
        <w:spacing w:line="560" w:lineRule="exact"/>
        <w:ind w:left="0" w:right="0" w:firstLine="400" w:firstLineChars="200"/>
        <w:rPr>
          <w:rFonts w:ascii="方正小标宋简体"/>
          <w:b w:val="0"/>
          <w:bCs w:val="0"/>
          <w:spacing w:val="0"/>
          <w:kern w:val="56"/>
          <w:sz w:val="20"/>
        </w:rPr>
      </w:pPr>
    </w:p>
    <w:p w14:paraId="240D72BA">
      <w:pPr>
        <w:pStyle w:val="2"/>
        <w:keepNext w:val="0"/>
        <w:keepLines w:val="0"/>
        <w:pageBreakBefore w:val="0"/>
        <w:kinsoku/>
        <w:wordWrap/>
        <w:overflowPunct/>
        <w:topLinePunct w:val="0"/>
        <w:bidi w:val="0"/>
        <w:spacing w:line="560" w:lineRule="exact"/>
        <w:ind w:left="0" w:right="0" w:firstLine="400" w:firstLineChars="200"/>
        <w:rPr>
          <w:rFonts w:ascii="方正小标宋简体"/>
          <w:b w:val="0"/>
          <w:bCs w:val="0"/>
          <w:spacing w:val="0"/>
          <w:kern w:val="56"/>
          <w:sz w:val="20"/>
        </w:rPr>
      </w:pPr>
    </w:p>
    <w:p w14:paraId="47AEA87F">
      <w:pPr>
        <w:pStyle w:val="2"/>
        <w:keepNext w:val="0"/>
        <w:keepLines w:val="0"/>
        <w:pageBreakBefore w:val="0"/>
        <w:kinsoku/>
        <w:wordWrap/>
        <w:overflowPunct/>
        <w:topLinePunct w:val="0"/>
        <w:bidi w:val="0"/>
        <w:spacing w:line="560" w:lineRule="exact"/>
        <w:ind w:left="0" w:right="0" w:firstLine="320" w:firstLineChars="200"/>
        <w:rPr>
          <w:rFonts w:ascii="方正小标宋简体"/>
          <w:b w:val="0"/>
          <w:bCs w:val="0"/>
          <w:spacing w:val="0"/>
          <w:kern w:val="56"/>
          <w:sz w:val="16"/>
        </w:rPr>
      </w:pPr>
    </w:p>
    <w:p w14:paraId="1BBA5E3B">
      <w:pPr>
        <w:keepNext w:val="0"/>
        <w:keepLines w:val="0"/>
        <w:pageBreakBefore w:val="0"/>
        <w:kinsoku/>
        <w:wordWrap/>
        <w:overflowPunct/>
        <w:topLinePunct w:val="0"/>
        <w:bidi w:val="0"/>
        <w:spacing w:line="560" w:lineRule="exact"/>
        <w:ind w:left="0" w:right="0" w:firstLine="720" w:firstLineChars="200"/>
        <w:jc w:val="center"/>
        <w:rPr>
          <w:rFonts w:hint="eastAsia" w:ascii="仿宋_GB2312" w:hAnsi="宋体" w:eastAsia="仿宋_GB2312" w:cs="宋体"/>
          <w:b w:val="0"/>
          <w:bCs w:val="0"/>
          <w:spacing w:val="0"/>
          <w:kern w:val="56"/>
          <w:sz w:val="36"/>
          <w:szCs w:val="22"/>
          <w:lang w:val="en-US" w:eastAsia="zh-CN" w:bidi="zh-CN"/>
        </w:rPr>
      </w:pPr>
    </w:p>
    <w:p w14:paraId="5F408A98">
      <w:pPr>
        <w:keepNext w:val="0"/>
        <w:keepLines w:val="0"/>
        <w:pageBreakBefore w:val="0"/>
        <w:kinsoku/>
        <w:wordWrap/>
        <w:overflowPunct/>
        <w:topLinePunct w:val="0"/>
        <w:bidi w:val="0"/>
        <w:spacing w:line="560" w:lineRule="exact"/>
        <w:ind w:left="0" w:right="0" w:firstLine="720" w:firstLineChars="200"/>
        <w:jc w:val="center"/>
        <w:rPr>
          <w:rFonts w:hint="eastAsia" w:ascii="仿宋_GB2312" w:hAnsi="宋体" w:eastAsia="仿宋_GB2312" w:cs="宋体"/>
          <w:b w:val="0"/>
          <w:bCs w:val="0"/>
          <w:spacing w:val="0"/>
          <w:kern w:val="56"/>
          <w:sz w:val="36"/>
          <w:szCs w:val="22"/>
          <w:lang w:val="en-US" w:eastAsia="zh-CN" w:bidi="zh-CN"/>
        </w:rPr>
      </w:pPr>
    </w:p>
    <w:p w14:paraId="68E3CD48">
      <w:pPr>
        <w:keepNext w:val="0"/>
        <w:keepLines w:val="0"/>
        <w:pageBreakBefore w:val="0"/>
        <w:kinsoku/>
        <w:wordWrap/>
        <w:overflowPunct/>
        <w:topLinePunct w:val="0"/>
        <w:bidi w:val="0"/>
        <w:spacing w:line="560" w:lineRule="exact"/>
        <w:ind w:left="0" w:right="0" w:firstLine="720" w:firstLineChars="200"/>
        <w:jc w:val="center"/>
        <w:rPr>
          <w:rFonts w:hint="eastAsia" w:ascii="仿宋_GB2312" w:hAnsi="宋体" w:eastAsia="仿宋_GB2312" w:cs="宋体"/>
          <w:b w:val="0"/>
          <w:bCs w:val="0"/>
          <w:spacing w:val="0"/>
          <w:kern w:val="56"/>
          <w:sz w:val="36"/>
          <w:szCs w:val="22"/>
          <w:lang w:val="en-US" w:eastAsia="zh-CN" w:bidi="zh-CN"/>
        </w:rPr>
      </w:pPr>
    </w:p>
    <w:p w14:paraId="0BA1FB65">
      <w:pPr>
        <w:keepNext w:val="0"/>
        <w:keepLines w:val="0"/>
        <w:pageBreakBefore w:val="0"/>
        <w:kinsoku/>
        <w:wordWrap/>
        <w:overflowPunct/>
        <w:topLinePunct w:val="0"/>
        <w:bidi w:val="0"/>
        <w:spacing w:line="560" w:lineRule="exact"/>
        <w:ind w:left="0" w:right="0" w:firstLine="720" w:firstLineChars="200"/>
        <w:jc w:val="center"/>
        <w:rPr>
          <w:rFonts w:hint="eastAsia" w:ascii="仿宋_GB2312" w:hAnsi="宋体" w:eastAsia="仿宋_GB2312" w:cs="宋体"/>
          <w:b w:val="0"/>
          <w:bCs w:val="0"/>
          <w:spacing w:val="0"/>
          <w:kern w:val="56"/>
          <w:sz w:val="36"/>
          <w:szCs w:val="22"/>
          <w:lang w:val="en-US" w:eastAsia="zh-CN" w:bidi="zh-CN"/>
        </w:rPr>
      </w:pPr>
    </w:p>
    <w:p w14:paraId="1CC368CB">
      <w:pPr>
        <w:keepNext w:val="0"/>
        <w:keepLines w:val="0"/>
        <w:pageBreakBefore w:val="0"/>
        <w:kinsoku/>
        <w:wordWrap/>
        <w:overflowPunct/>
        <w:topLinePunct w:val="0"/>
        <w:bidi w:val="0"/>
        <w:spacing w:line="560" w:lineRule="exact"/>
        <w:ind w:left="0" w:right="0" w:firstLine="720" w:firstLineChars="200"/>
        <w:jc w:val="center"/>
        <w:rPr>
          <w:rFonts w:hint="default" w:ascii="仿宋_GB2312" w:hAnsi="宋体" w:eastAsia="仿宋_GB2312" w:cs="宋体"/>
          <w:b w:val="0"/>
          <w:bCs w:val="0"/>
          <w:spacing w:val="0"/>
          <w:kern w:val="56"/>
          <w:sz w:val="36"/>
          <w:szCs w:val="22"/>
          <w:lang w:val="en-US" w:eastAsia="zh-CN" w:bidi="zh-CN"/>
        </w:rPr>
      </w:pPr>
      <w:r>
        <w:rPr>
          <w:rFonts w:hint="eastAsia" w:ascii="仿宋_GB2312" w:eastAsia="仿宋_GB2312" w:cs="宋体"/>
          <w:b w:val="0"/>
          <w:bCs w:val="0"/>
          <w:spacing w:val="0"/>
          <w:kern w:val="56"/>
          <w:sz w:val="36"/>
          <w:szCs w:val="22"/>
          <w:lang w:val="en-US" w:eastAsia="zh-CN" w:bidi="zh-CN"/>
        </w:rPr>
        <w:t>威海智慧谷职业中等专业学校</w:t>
      </w:r>
    </w:p>
    <w:p w14:paraId="756AE63B">
      <w:pPr>
        <w:keepNext w:val="0"/>
        <w:keepLines w:val="0"/>
        <w:pageBreakBefore w:val="0"/>
        <w:kinsoku/>
        <w:wordWrap/>
        <w:overflowPunct/>
        <w:topLinePunct w:val="0"/>
        <w:bidi w:val="0"/>
        <w:spacing w:line="560" w:lineRule="exact"/>
        <w:ind w:left="0" w:right="0" w:firstLine="720" w:firstLineChars="200"/>
        <w:jc w:val="center"/>
        <w:rPr>
          <w:rFonts w:hint="eastAsia" w:ascii="仿宋_GB2312" w:hAnsi="宋体" w:eastAsia="仿宋_GB2312" w:cs="宋体"/>
          <w:b w:val="0"/>
          <w:bCs w:val="0"/>
          <w:spacing w:val="0"/>
          <w:kern w:val="56"/>
          <w:sz w:val="36"/>
          <w:szCs w:val="22"/>
          <w:lang w:val="en-US" w:eastAsia="zh-CN" w:bidi="zh-CN"/>
        </w:rPr>
      </w:pPr>
    </w:p>
    <w:p w14:paraId="3141436E">
      <w:pPr>
        <w:keepNext w:val="0"/>
        <w:keepLines w:val="0"/>
        <w:pageBreakBefore w:val="0"/>
        <w:kinsoku/>
        <w:wordWrap/>
        <w:overflowPunct/>
        <w:topLinePunct w:val="0"/>
        <w:bidi w:val="0"/>
        <w:spacing w:line="560" w:lineRule="exact"/>
        <w:ind w:left="0" w:right="0" w:firstLine="720" w:firstLineChars="200"/>
        <w:jc w:val="center"/>
        <w:rPr>
          <w:rFonts w:hint="default" w:ascii="仿宋_GB2312" w:hAnsi="宋体" w:eastAsia="仿宋_GB2312" w:cs="宋体"/>
          <w:b w:val="0"/>
          <w:bCs w:val="0"/>
          <w:spacing w:val="0"/>
          <w:kern w:val="56"/>
          <w:sz w:val="36"/>
          <w:szCs w:val="22"/>
          <w:lang w:val="en-US" w:eastAsia="zh-CN" w:bidi="zh-CN"/>
        </w:rPr>
        <w:sectPr>
          <w:type w:val="continuous"/>
          <w:pgSz w:w="11910" w:h="16840"/>
          <w:pgMar w:top="2098" w:right="1474" w:bottom="1984" w:left="1587" w:header="720" w:footer="720" w:gutter="0"/>
          <w:cols w:space="720" w:num="1"/>
        </w:sectPr>
      </w:pPr>
      <w:r>
        <w:rPr>
          <w:rFonts w:hint="eastAsia" w:ascii="仿宋_GB2312" w:hAnsi="宋体" w:eastAsia="仿宋_GB2312" w:cs="宋体"/>
          <w:b w:val="0"/>
          <w:bCs w:val="0"/>
          <w:spacing w:val="0"/>
          <w:kern w:val="56"/>
          <w:sz w:val="36"/>
          <w:szCs w:val="22"/>
          <w:lang w:val="en-US" w:eastAsia="zh-CN" w:bidi="zh-CN"/>
        </w:rPr>
        <w:t>2024</w:t>
      </w:r>
      <w:r>
        <w:rPr>
          <w:rFonts w:hint="eastAsia" w:ascii="仿宋_GB2312" w:eastAsia="仿宋_GB2312" w:cs="宋体"/>
          <w:b w:val="0"/>
          <w:bCs w:val="0"/>
          <w:spacing w:val="0"/>
          <w:kern w:val="56"/>
          <w:sz w:val="36"/>
          <w:szCs w:val="22"/>
          <w:lang w:val="en-US" w:eastAsia="zh-CN" w:bidi="zh-CN"/>
        </w:rPr>
        <w:t>年</w:t>
      </w:r>
      <w:r>
        <w:rPr>
          <w:rFonts w:hint="eastAsia" w:ascii="仿宋_GB2312" w:hAnsi="宋体" w:eastAsia="仿宋_GB2312" w:cs="宋体"/>
          <w:b w:val="0"/>
          <w:bCs w:val="0"/>
          <w:spacing w:val="0"/>
          <w:kern w:val="56"/>
          <w:sz w:val="36"/>
          <w:szCs w:val="22"/>
          <w:lang w:val="en-US" w:eastAsia="zh-CN" w:bidi="zh-CN"/>
        </w:rPr>
        <w:t>9</w:t>
      </w:r>
      <w:r>
        <w:rPr>
          <w:rFonts w:hint="eastAsia" w:ascii="仿宋_GB2312" w:eastAsia="仿宋_GB2312" w:cs="宋体"/>
          <w:b w:val="0"/>
          <w:bCs w:val="0"/>
          <w:spacing w:val="0"/>
          <w:kern w:val="56"/>
          <w:sz w:val="36"/>
          <w:szCs w:val="22"/>
          <w:lang w:val="en-US" w:eastAsia="zh-CN" w:bidi="zh-CN"/>
        </w:rPr>
        <w:t>月</w:t>
      </w:r>
    </w:p>
    <w:p w14:paraId="6FB8B7EF">
      <w:pPr>
        <w:keepNext w:val="0"/>
        <w:keepLines w:val="0"/>
        <w:pageBreakBefore w:val="0"/>
        <w:tabs>
          <w:tab w:val="left" w:pos="1201"/>
        </w:tabs>
        <w:kinsoku/>
        <w:wordWrap/>
        <w:overflowPunct/>
        <w:topLinePunct w:val="0"/>
        <w:bidi w:val="0"/>
        <w:spacing w:line="560" w:lineRule="exact"/>
        <w:ind w:right="0"/>
        <w:jc w:val="center"/>
        <w:rPr>
          <w:rFonts w:ascii="方正小标宋简体"/>
          <w:b w:val="0"/>
          <w:bCs w:val="0"/>
          <w:spacing w:val="0"/>
          <w:kern w:val="56"/>
          <w:sz w:val="19"/>
        </w:rPr>
      </w:pPr>
      <w:r>
        <w:rPr>
          <w:rFonts w:hint="eastAsia" w:ascii="方正小标宋简体" w:hAnsi="方正小标宋简体" w:eastAsia="方正小标宋简体" w:cs="方正小标宋简体"/>
          <w:b w:val="0"/>
          <w:bCs w:val="0"/>
          <w:spacing w:val="0"/>
          <w:kern w:val="56"/>
          <w:sz w:val="36"/>
          <w:szCs w:val="36"/>
        </w:rPr>
        <w:t>目</w:t>
      </w:r>
      <w:r>
        <w:rPr>
          <w:rFonts w:hint="eastAsia" w:ascii="方正小标宋简体" w:hAnsi="方正小标宋简体" w:eastAsia="方正小标宋简体" w:cs="方正小标宋简体"/>
          <w:b w:val="0"/>
          <w:bCs w:val="0"/>
          <w:spacing w:val="0"/>
          <w:kern w:val="56"/>
          <w:sz w:val="36"/>
          <w:szCs w:val="36"/>
        </w:rPr>
        <w:tab/>
      </w:r>
      <w:r>
        <w:rPr>
          <w:rFonts w:hint="eastAsia" w:ascii="方正小标宋简体" w:hAnsi="方正小标宋简体" w:eastAsia="方正小标宋简体" w:cs="方正小标宋简体"/>
          <w:b w:val="0"/>
          <w:bCs w:val="0"/>
          <w:spacing w:val="0"/>
          <w:kern w:val="56"/>
          <w:sz w:val="36"/>
          <w:szCs w:val="36"/>
        </w:rPr>
        <w:t>录</w:t>
      </w:r>
      <w:bookmarkStart w:id="26" w:name="_GoBack"/>
      <w:bookmarkEnd w:id="26"/>
    </w:p>
    <w:p w14:paraId="7F43A40B">
      <w:pPr>
        <w:pStyle w:val="4"/>
        <w:keepNext w:val="0"/>
        <w:keepLines w:val="0"/>
        <w:pageBreakBefore w:val="0"/>
        <w:widowControl w:val="0"/>
        <w:numPr>
          <w:ilvl w:val="0"/>
          <w:numId w:val="0"/>
        </w:numPr>
        <w:kinsoku/>
        <w:wordWrap/>
        <w:overflowPunct/>
        <w:topLinePunct w:val="0"/>
        <w:autoSpaceDE w:val="0"/>
        <w:autoSpaceDN w:val="0"/>
        <w:bidi w:val="0"/>
        <w:adjustRightInd/>
        <w:snapToGrid/>
        <w:spacing w:before="0" w:line="560" w:lineRule="exact"/>
        <w:ind w:right="0" w:rightChars="0"/>
        <w:jc w:val="left"/>
        <w:textAlignment w:val="auto"/>
        <w:rPr>
          <w:rFonts w:hint="eastAsia" w:ascii="仿宋_GB2312" w:hAnsi="仿宋_GB2312" w:eastAsia="仿宋_GB2312" w:cs="仿宋_GB2312"/>
          <w:b w:val="0"/>
          <w:bCs w:val="0"/>
          <w:spacing w:val="0"/>
          <w:kern w:val="56"/>
          <w:sz w:val="28"/>
          <w:szCs w:val="28"/>
          <w:lang w:val="en-US" w:eastAsia="zh-CN"/>
        </w:rPr>
      </w:pPr>
      <w:bookmarkStart w:id="1" w:name="_一、专业名称与代码_........................."/>
      <w:bookmarkEnd w:id="1"/>
      <w:r>
        <w:rPr>
          <w:rFonts w:hint="eastAsia" w:ascii="仿宋_GB2312" w:hAnsi="仿宋_GB2312" w:eastAsia="仿宋_GB2312" w:cs="仿宋_GB2312"/>
          <w:b w:val="0"/>
          <w:bCs w:val="0"/>
          <w:spacing w:val="0"/>
          <w:kern w:val="56"/>
          <w:sz w:val="28"/>
          <w:szCs w:val="28"/>
          <w:lang w:val="zh-CN" w:eastAsia="zh-CN" w:bidi="zh-CN"/>
        </w:rPr>
        <w:t>一、</w:t>
      </w:r>
      <w:r>
        <w:rPr>
          <w:rFonts w:hint="eastAsia" w:ascii="仿宋_GB2312" w:hAnsi="仿宋_GB2312" w:eastAsia="仿宋_GB2312" w:cs="仿宋_GB2312"/>
          <w:b w:val="0"/>
          <w:bCs w:val="0"/>
          <w:spacing w:val="0"/>
          <w:kern w:val="56"/>
          <w:sz w:val="28"/>
          <w:szCs w:val="28"/>
        </w:rPr>
        <w:t>专业名称与</w:t>
      </w:r>
      <w:r>
        <w:rPr>
          <w:rFonts w:hint="eastAsia" w:ascii="仿宋_GB2312" w:hAnsi="仿宋_GB2312" w:eastAsia="仿宋_GB2312" w:cs="仿宋_GB2312"/>
          <w:b w:val="0"/>
          <w:bCs w:val="0"/>
          <w:spacing w:val="0"/>
          <w:kern w:val="56"/>
          <w:sz w:val="28"/>
          <w:szCs w:val="28"/>
          <w:lang w:val="en-US" w:eastAsia="zh-CN"/>
        </w:rPr>
        <w:t>代</w:t>
      </w:r>
      <w:r>
        <w:rPr>
          <w:rFonts w:hint="eastAsia" w:ascii="仿宋_GB2312" w:hAnsi="仿宋_GB2312" w:eastAsia="仿宋_GB2312" w:cs="仿宋_GB2312"/>
          <w:b w:val="0"/>
          <w:bCs w:val="0"/>
          <w:spacing w:val="0"/>
          <w:kern w:val="56"/>
          <w:sz w:val="28"/>
          <w:szCs w:val="28"/>
        </w:rPr>
        <w:t>码 .........................................</w:t>
      </w:r>
      <w:r>
        <w:rPr>
          <w:rFonts w:hint="eastAsia" w:ascii="仿宋_GB2312" w:hAnsi="仿宋_GB2312" w:eastAsia="仿宋_GB2312" w:cs="仿宋_GB2312"/>
          <w:b w:val="0"/>
          <w:bCs w:val="0"/>
          <w:spacing w:val="0"/>
          <w:kern w:val="56"/>
          <w:sz w:val="28"/>
          <w:szCs w:val="28"/>
          <w:lang w:val="en-US" w:eastAsia="zh-CN"/>
        </w:rPr>
        <w:t>1</w:t>
      </w:r>
    </w:p>
    <w:p w14:paraId="07394287">
      <w:pPr>
        <w:pStyle w:val="4"/>
        <w:keepNext w:val="0"/>
        <w:keepLines w:val="0"/>
        <w:pageBreakBefore w:val="0"/>
        <w:widowControl w:val="0"/>
        <w:numPr>
          <w:ilvl w:val="0"/>
          <w:numId w:val="0"/>
        </w:numPr>
        <w:kinsoku/>
        <w:wordWrap/>
        <w:overflowPunct/>
        <w:topLinePunct w:val="0"/>
        <w:autoSpaceDE w:val="0"/>
        <w:autoSpaceDN w:val="0"/>
        <w:bidi w:val="0"/>
        <w:adjustRightInd/>
        <w:snapToGrid/>
        <w:spacing w:before="0" w:line="560" w:lineRule="exact"/>
        <w:ind w:right="0" w:rightChars="0"/>
        <w:jc w:val="left"/>
        <w:textAlignment w:val="auto"/>
        <w:rPr>
          <w:rFonts w:hint="eastAsia" w:ascii="仿宋_GB2312" w:hAnsi="仿宋_GB2312" w:eastAsia="仿宋_GB2312" w:cs="仿宋_GB2312"/>
          <w:b w:val="0"/>
          <w:bCs w:val="0"/>
          <w:spacing w:val="0"/>
          <w:kern w:val="56"/>
          <w:sz w:val="28"/>
          <w:szCs w:val="28"/>
        </w:rPr>
      </w:pPr>
      <w:r>
        <w:rPr>
          <w:rFonts w:hint="eastAsia" w:ascii="仿宋_GB2312" w:hAnsi="仿宋_GB2312" w:eastAsia="仿宋_GB2312" w:cs="仿宋_GB2312"/>
          <w:b w:val="0"/>
          <w:bCs w:val="0"/>
          <w:spacing w:val="0"/>
          <w:kern w:val="56"/>
          <w:sz w:val="28"/>
          <w:szCs w:val="28"/>
        </w:rPr>
        <w:t>二、入学要求与学制......................................... 1</w:t>
      </w:r>
    </w:p>
    <w:p w14:paraId="2C1B6982">
      <w:pPr>
        <w:keepNext w:val="0"/>
        <w:keepLines w:val="0"/>
        <w:pageBreakBefore w:val="0"/>
        <w:widowControl w:val="0"/>
        <w:kinsoku/>
        <w:wordWrap/>
        <w:overflowPunct/>
        <w:topLinePunct w:val="0"/>
        <w:autoSpaceDE w:val="0"/>
        <w:autoSpaceDN w:val="0"/>
        <w:bidi w:val="0"/>
        <w:adjustRightInd/>
        <w:snapToGrid/>
        <w:spacing w:line="560" w:lineRule="exact"/>
        <w:ind w:right="0"/>
        <w:jc w:val="left"/>
        <w:textAlignment w:val="auto"/>
        <w:rPr>
          <w:rFonts w:hint="eastAsia" w:ascii="仿宋_GB2312" w:hAnsi="仿宋_GB2312" w:eastAsia="仿宋_GB2312" w:cs="仿宋_GB2312"/>
          <w:b w:val="0"/>
          <w:bCs w:val="0"/>
          <w:spacing w:val="0"/>
          <w:kern w:val="56"/>
          <w:sz w:val="28"/>
          <w:szCs w:val="28"/>
        </w:rPr>
      </w:pPr>
      <w:r>
        <w:rPr>
          <w:rFonts w:hint="eastAsia" w:ascii="仿宋_GB2312" w:hAnsi="仿宋_GB2312" w:eastAsia="仿宋_GB2312" w:cs="仿宋_GB2312"/>
          <w:b w:val="0"/>
          <w:bCs w:val="0"/>
          <w:spacing w:val="0"/>
          <w:kern w:val="56"/>
          <w:sz w:val="28"/>
          <w:szCs w:val="28"/>
        </w:rPr>
        <w:t>三、培养目标 .............................................. 1</w:t>
      </w:r>
    </w:p>
    <w:p w14:paraId="6863C2FC">
      <w:pPr>
        <w:keepNext w:val="0"/>
        <w:keepLines w:val="0"/>
        <w:pageBreakBefore w:val="0"/>
        <w:widowControl w:val="0"/>
        <w:kinsoku/>
        <w:wordWrap/>
        <w:overflowPunct/>
        <w:topLinePunct w:val="0"/>
        <w:autoSpaceDE w:val="0"/>
        <w:autoSpaceDN w:val="0"/>
        <w:bidi w:val="0"/>
        <w:adjustRightInd/>
        <w:snapToGrid/>
        <w:spacing w:line="560" w:lineRule="exact"/>
        <w:ind w:right="0"/>
        <w:jc w:val="left"/>
        <w:textAlignment w:val="auto"/>
        <w:rPr>
          <w:rFonts w:hint="eastAsia" w:ascii="仿宋_GB2312" w:hAnsi="仿宋_GB2312" w:eastAsia="仿宋_GB2312" w:cs="仿宋_GB2312"/>
          <w:b w:val="0"/>
          <w:bCs w:val="0"/>
          <w:spacing w:val="0"/>
          <w:kern w:val="56"/>
          <w:sz w:val="28"/>
          <w:szCs w:val="28"/>
        </w:rPr>
      </w:pPr>
      <w:r>
        <w:rPr>
          <w:rFonts w:hint="eastAsia" w:ascii="仿宋_GB2312" w:hAnsi="仿宋_GB2312" w:eastAsia="仿宋_GB2312" w:cs="仿宋_GB2312"/>
          <w:b w:val="0"/>
          <w:bCs w:val="0"/>
          <w:spacing w:val="0"/>
          <w:kern w:val="56"/>
          <w:sz w:val="28"/>
          <w:szCs w:val="28"/>
        </w:rPr>
        <w:t>四、职业（岗位）面向....................................... 1</w:t>
      </w:r>
    </w:p>
    <w:p w14:paraId="01116049">
      <w:pPr>
        <w:keepNext w:val="0"/>
        <w:keepLines w:val="0"/>
        <w:pageBreakBefore w:val="0"/>
        <w:widowControl w:val="0"/>
        <w:kinsoku/>
        <w:wordWrap/>
        <w:overflowPunct/>
        <w:topLinePunct w:val="0"/>
        <w:autoSpaceDE w:val="0"/>
        <w:autoSpaceDN w:val="0"/>
        <w:bidi w:val="0"/>
        <w:adjustRightInd/>
        <w:snapToGrid/>
        <w:spacing w:line="560" w:lineRule="exact"/>
        <w:ind w:right="0"/>
        <w:jc w:val="left"/>
        <w:textAlignment w:val="auto"/>
        <w:rPr>
          <w:rFonts w:hint="eastAsia" w:ascii="仿宋_GB2312" w:hAnsi="仿宋_GB2312" w:eastAsia="仿宋_GB2312" w:cs="仿宋_GB2312"/>
          <w:b w:val="0"/>
          <w:bCs w:val="0"/>
          <w:spacing w:val="0"/>
          <w:kern w:val="56"/>
          <w:sz w:val="28"/>
          <w:szCs w:val="28"/>
        </w:rPr>
      </w:pPr>
      <w:r>
        <w:rPr>
          <w:rFonts w:hint="eastAsia" w:ascii="仿宋_GB2312" w:hAnsi="仿宋_GB2312" w:eastAsia="仿宋_GB2312" w:cs="仿宋_GB2312"/>
          <w:b w:val="0"/>
          <w:bCs w:val="0"/>
          <w:spacing w:val="0"/>
          <w:kern w:val="56"/>
          <w:sz w:val="28"/>
          <w:szCs w:val="28"/>
        </w:rPr>
        <w:t>五、培养规格与素养 ........................................ 2</w:t>
      </w:r>
    </w:p>
    <w:p w14:paraId="4BF7FA6A">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eastAsia" w:ascii="仿宋_GB2312" w:hAnsi="仿宋_GB2312" w:eastAsia="仿宋_GB2312" w:cs="仿宋_GB2312"/>
          <w:b w:val="0"/>
          <w:bCs w:val="0"/>
          <w:spacing w:val="0"/>
          <w:kern w:val="56"/>
          <w:sz w:val="28"/>
          <w:szCs w:val="28"/>
        </w:rPr>
      </w:pPr>
      <w:r>
        <w:rPr>
          <w:rFonts w:hint="eastAsia" w:ascii="仿宋_GB2312" w:hAnsi="仿宋_GB2312" w:eastAsia="仿宋_GB2312" w:cs="仿宋_GB2312"/>
          <w:b w:val="0"/>
          <w:bCs w:val="0"/>
          <w:spacing w:val="0"/>
          <w:kern w:val="56"/>
          <w:sz w:val="28"/>
          <w:szCs w:val="28"/>
        </w:rPr>
        <w:t>（一）综合素养 ........................................ 2</w:t>
      </w:r>
    </w:p>
    <w:p w14:paraId="6D3DCF35">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eastAsia" w:ascii="仿宋_GB2312" w:hAnsi="仿宋_GB2312" w:eastAsia="仿宋_GB2312" w:cs="仿宋_GB2312"/>
          <w:b w:val="0"/>
          <w:bCs w:val="0"/>
          <w:spacing w:val="0"/>
          <w:w w:val="99"/>
          <w:kern w:val="56"/>
          <w:sz w:val="28"/>
          <w:szCs w:val="28"/>
          <w:lang w:eastAsia="zh-CN"/>
        </w:rPr>
      </w:pPr>
      <w:r>
        <w:rPr>
          <w:rFonts w:hint="eastAsia" w:ascii="仿宋_GB2312" w:hAnsi="仿宋_GB2312" w:eastAsia="仿宋_GB2312" w:cs="仿宋_GB2312"/>
          <w:b w:val="0"/>
          <w:bCs w:val="0"/>
          <w:spacing w:val="0"/>
          <w:kern w:val="56"/>
          <w:sz w:val="28"/>
          <w:szCs w:val="28"/>
        </w:rPr>
        <w:t xml:space="preserve">（二）专业知识 ........................................ </w:t>
      </w:r>
      <w:r>
        <w:rPr>
          <w:rFonts w:hint="eastAsia" w:ascii="仿宋_GB2312" w:hAnsi="仿宋_GB2312" w:eastAsia="仿宋_GB2312" w:cs="仿宋_GB2312"/>
          <w:b w:val="0"/>
          <w:bCs w:val="0"/>
          <w:spacing w:val="0"/>
          <w:kern w:val="56"/>
          <w:sz w:val="28"/>
          <w:szCs w:val="28"/>
          <w:lang w:val="en-US" w:eastAsia="zh-CN"/>
        </w:rPr>
        <w:t>3</w:t>
      </w:r>
    </w:p>
    <w:p w14:paraId="08CB1829">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eastAsia" w:ascii="仿宋_GB2312" w:hAnsi="仿宋_GB2312" w:eastAsia="仿宋_GB2312" w:cs="仿宋_GB2312"/>
          <w:b w:val="0"/>
          <w:bCs w:val="0"/>
          <w:spacing w:val="0"/>
          <w:kern w:val="56"/>
          <w:sz w:val="28"/>
          <w:szCs w:val="28"/>
          <w:lang w:eastAsia="zh-CN"/>
        </w:rPr>
      </w:pPr>
      <w:r>
        <w:rPr>
          <w:rFonts w:hint="eastAsia" w:ascii="仿宋_GB2312" w:hAnsi="仿宋_GB2312" w:eastAsia="仿宋_GB2312" w:cs="仿宋_GB2312"/>
          <w:b w:val="0"/>
          <w:bCs w:val="0"/>
          <w:spacing w:val="0"/>
          <w:kern w:val="56"/>
          <w:sz w:val="28"/>
          <w:szCs w:val="28"/>
        </w:rPr>
        <w:t>（</w:t>
      </w:r>
      <w:r>
        <w:rPr>
          <w:rFonts w:hint="eastAsia" w:ascii="仿宋_GB2312" w:hAnsi="仿宋_GB2312" w:eastAsia="仿宋_GB2312" w:cs="仿宋_GB2312"/>
          <w:b w:val="0"/>
          <w:bCs w:val="0"/>
          <w:spacing w:val="0"/>
          <w:kern w:val="56"/>
          <w:sz w:val="28"/>
          <w:szCs w:val="28"/>
          <w:lang w:val="en-US" w:eastAsia="zh-CN"/>
        </w:rPr>
        <w:t>三</w:t>
      </w:r>
      <w:r>
        <w:rPr>
          <w:rFonts w:hint="eastAsia" w:ascii="仿宋_GB2312" w:hAnsi="仿宋_GB2312" w:eastAsia="仿宋_GB2312" w:cs="仿宋_GB2312"/>
          <w:b w:val="0"/>
          <w:bCs w:val="0"/>
          <w:spacing w:val="0"/>
          <w:kern w:val="56"/>
          <w:sz w:val="28"/>
          <w:szCs w:val="28"/>
        </w:rPr>
        <w:t xml:space="preserve">）职业能力 ........................................ </w:t>
      </w:r>
      <w:r>
        <w:rPr>
          <w:rFonts w:hint="eastAsia" w:ascii="仿宋_GB2312" w:hAnsi="仿宋_GB2312" w:eastAsia="仿宋_GB2312" w:cs="仿宋_GB2312"/>
          <w:b w:val="0"/>
          <w:bCs w:val="0"/>
          <w:spacing w:val="0"/>
          <w:kern w:val="56"/>
          <w:sz w:val="28"/>
          <w:szCs w:val="28"/>
          <w:lang w:val="en-US" w:eastAsia="zh-CN"/>
        </w:rPr>
        <w:t>3</w:t>
      </w:r>
    </w:p>
    <w:p w14:paraId="395ACA97">
      <w:pPr>
        <w:pStyle w:val="4"/>
        <w:keepNext w:val="0"/>
        <w:keepLines w:val="0"/>
        <w:pageBreakBefore w:val="0"/>
        <w:widowControl w:val="0"/>
        <w:kinsoku/>
        <w:wordWrap/>
        <w:overflowPunct/>
        <w:topLinePunct w:val="0"/>
        <w:autoSpaceDE w:val="0"/>
        <w:autoSpaceDN w:val="0"/>
        <w:bidi w:val="0"/>
        <w:adjustRightInd/>
        <w:snapToGrid/>
        <w:spacing w:before="0" w:line="560" w:lineRule="exact"/>
        <w:ind w:left="0" w:leftChars="0" w:right="0" w:firstLine="0" w:firstLineChars="0"/>
        <w:jc w:val="left"/>
        <w:textAlignment w:val="auto"/>
        <w:rPr>
          <w:rFonts w:hint="eastAsia" w:ascii="仿宋_GB2312" w:hAnsi="仿宋_GB2312" w:eastAsia="仿宋_GB2312" w:cs="仿宋_GB2312"/>
          <w:b w:val="0"/>
          <w:bCs w:val="0"/>
          <w:spacing w:val="0"/>
          <w:kern w:val="56"/>
          <w:sz w:val="28"/>
          <w:szCs w:val="28"/>
          <w:lang w:eastAsia="zh-CN"/>
        </w:rPr>
      </w:pPr>
      <w:r>
        <w:rPr>
          <w:rFonts w:hint="eastAsia" w:ascii="仿宋_GB2312" w:hAnsi="仿宋_GB2312" w:eastAsia="仿宋_GB2312" w:cs="仿宋_GB2312"/>
          <w:b w:val="0"/>
          <w:bCs w:val="0"/>
          <w:spacing w:val="0"/>
          <w:kern w:val="56"/>
          <w:sz w:val="28"/>
          <w:szCs w:val="28"/>
        </w:rPr>
        <w:t xml:space="preserve">六、课程结构及设置 ........................................ </w:t>
      </w:r>
      <w:r>
        <w:rPr>
          <w:rFonts w:hint="eastAsia" w:ascii="仿宋_GB2312" w:hAnsi="仿宋_GB2312" w:eastAsia="仿宋_GB2312" w:cs="仿宋_GB2312"/>
          <w:b w:val="0"/>
          <w:bCs w:val="0"/>
          <w:spacing w:val="0"/>
          <w:kern w:val="56"/>
          <w:sz w:val="28"/>
          <w:szCs w:val="28"/>
          <w:lang w:val="en-US" w:eastAsia="zh-CN"/>
        </w:rPr>
        <w:t>4</w:t>
      </w:r>
    </w:p>
    <w:p w14:paraId="7F7B181F">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eastAsia" w:ascii="仿宋_GB2312" w:hAnsi="仿宋_GB2312" w:eastAsia="仿宋_GB2312" w:cs="仿宋_GB2312"/>
          <w:b w:val="0"/>
          <w:bCs w:val="0"/>
          <w:spacing w:val="0"/>
          <w:kern w:val="56"/>
          <w:sz w:val="28"/>
          <w:szCs w:val="28"/>
          <w:lang w:eastAsia="zh-CN"/>
        </w:rPr>
      </w:pPr>
      <w:r>
        <w:rPr>
          <w:rFonts w:hint="eastAsia" w:ascii="仿宋_GB2312" w:hAnsi="仿宋_GB2312" w:eastAsia="仿宋_GB2312" w:cs="仿宋_GB2312"/>
          <w:b w:val="0"/>
          <w:bCs w:val="0"/>
          <w:spacing w:val="0"/>
          <w:kern w:val="56"/>
          <w:sz w:val="28"/>
          <w:szCs w:val="28"/>
        </w:rPr>
        <w:t xml:space="preserve">（一）公共基础课程 .................................... </w:t>
      </w:r>
      <w:r>
        <w:rPr>
          <w:rFonts w:hint="eastAsia" w:ascii="仿宋_GB2312" w:hAnsi="仿宋_GB2312" w:eastAsia="仿宋_GB2312" w:cs="仿宋_GB2312"/>
          <w:b w:val="0"/>
          <w:bCs w:val="0"/>
          <w:spacing w:val="0"/>
          <w:kern w:val="56"/>
          <w:sz w:val="28"/>
          <w:szCs w:val="28"/>
          <w:lang w:val="en-US" w:eastAsia="zh-CN"/>
        </w:rPr>
        <w:t>4</w:t>
      </w:r>
    </w:p>
    <w:p w14:paraId="61E994D1">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eastAsia" w:ascii="仿宋_GB2312" w:hAnsi="仿宋_GB2312" w:eastAsia="仿宋_GB2312" w:cs="仿宋_GB2312"/>
          <w:b w:val="0"/>
          <w:bCs w:val="0"/>
          <w:spacing w:val="0"/>
          <w:kern w:val="56"/>
          <w:sz w:val="28"/>
          <w:szCs w:val="28"/>
          <w:lang w:val="en-US" w:eastAsia="zh-CN"/>
        </w:rPr>
      </w:pPr>
      <w:r>
        <w:rPr>
          <w:rFonts w:hint="eastAsia" w:ascii="仿宋_GB2312" w:hAnsi="仿宋_GB2312" w:eastAsia="仿宋_GB2312" w:cs="仿宋_GB2312"/>
          <w:b w:val="0"/>
          <w:bCs w:val="0"/>
          <w:spacing w:val="0"/>
          <w:kern w:val="56"/>
          <w:sz w:val="28"/>
          <w:szCs w:val="28"/>
        </w:rPr>
        <w:t>（二）专业</w:t>
      </w:r>
      <w:r>
        <w:rPr>
          <w:rFonts w:hint="eastAsia" w:ascii="仿宋_GB2312" w:hAnsi="仿宋_GB2312" w:eastAsia="仿宋_GB2312" w:cs="仿宋_GB2312"/>
          <w:b w:val="0"/>
          <w:bCs w:val="0"/>
          <w:spacing w:val="0"/>
          <w:kern w:val="56"/>
          <w:sz w:val="28"/>
          <w:szCs w:val="28"/>
          <w:lang w:eastAsia="zh-CN"/>
        </w:rPr>
        <w:t>（</w:t>
      </w:r>
      <w:r>
        <w:rPr>
          <w:rFonts w:hint="eastAsia" w:ascii="仿宋_GB2312" w:hAnsi="仿宋_GB2312" w:eastAsia="仿宋_GB2312" w:cs="仿宋_GB2312"/>
          <w:b w:val="0"/>
          <w:bCs w:val="0"/>
          <w:spacing w:val="0"/>
          <w:kern w:val="56"/>
          <w:sz w:val="28"/>
          <w:szCs w:val="28"/>
          <w:lang w:val="en-US" w:eastAsia="zh-CN"/>
        </w:rPr>
        <w:t>技能）课程</w:t>
      </w:r>
      <w:r>
        <w:rPr>
          <w:rFonts w:hint="eastAsia" w:ascii="仿宋_GB2312" w:hAnsi="仿宋_GB2312" w:eastAsia="仿宋_GB2312" w:cs="仿宋_GB2312"/>
          <w:b w:val="0"/>
          <w:bCs w:val="0"/>
          <w:spacing w:val="0"/>
          <w:kern w:val="56"/>
          <w:sz w:val="28"/>
          <w:szCs w:val="28"/>
        </w:rPr>
        <w:t xml:space="preserve">................................ </w:t>
      </w:r>
      <w:r>
        <w:rPr>
          <w:rFonts w:hint="eastAsia" w:ascii="仿宋_GB2312" w:hAnsi="仿宋_GB2312" w:eastAsia="仿宋_GB2312" w:cs="仿宋_GB2312"/>
          <w:b w:val="0"/>
          <w:bCs w:val="0"/>
          <w:spacing w:val="0"/>
          <w:kern w:val="56"/>
          <w:sz w:val="28"/>
          <w:szCs w:val="28"/>
          <w:lang w:val="en-US" w:eastAsia="zh-CN"/>
        </w:rPr>
        <w:t xml:space="preserve"> 9</w:t>
      </w:r>
    </w:p>
    <w:p w14:paraId="0A0D1397">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default" w:ascii="仿宋_GB2312" w:hAnsi="仿宋_GB2312" w:eastAsia="仿宋_GB2312" w:cs="仿宋_GB2312"/>
          <w:b w:val="0"/>
          <w:bCs w:val="0"/>
          <w:spacing w:val="0"/>
          <w:kern w:val="56"/>
          <w:sz w:val="28"/>
          <w:szCs w:val="28"/>
          <w:lang w:val="en-US" w:eastAsia="zh-CN"/>
        </w:rPr>
      </w:pPr>
      <w:r>
        <w:rPr>
          <w:rFonts w:hint="eastAsia" w:ascii="仿宋_GB2312" w:hAnsi="仿宋_GB2312" w:eastAsia="仿宋_GB2312" w:cs="仿宋_GB2312"/>
          <w:b w:val="0"/>
          <w:bCs w:val="0"/>
          <w:spacing w:val="0"/>
          <w:kern w:val="56"/>
          <w:sz w:val="28"/>
          <w:szCs w:val="28"/>
        </w:rPr>
        <w:t>（三）</w:t>
      </w:r>
      <w:r>
        <w:rPr>
          <w:rFonts w:hint="eastAsia" w:ascii="仿宋_GB2312" w:hAnsi="仿宋_GB2312" w:eastAsia="仿宋_GB2312" w:cs="仿宋_GB2312"/>
          <w:b w:val="0"/>
          <w:bCs w:val="0"/>
          <w:spacing w:val="0"/>
          <w:kern w:val="56"/>
          <w:sz w:val="28"/>
          <w:szCs w:val="28"/>
          <w:lang w:val="en-US" w:eastAsia="zh-CN"/>
        </w:rPr>
        <w:t>综合实践</w:t>
      </w:r>
      <w:r>
        <w:rPr>
          <w:rFonts w:hint="eastAsia" w:ascii="仿宋_GB2312" w:hAnsi="仿宋_GB2312" w:eastAsia="仿宋_GB2312" w:cs="仿宋_GB2312"/>
          <w:b w:val="0"/>
          <w:bCs w:val="0"/>
          <w:spacing w:val="0"/>
          <w:kern w:val="56"/>
          <w:sz w:val="28"/>
          <w:szCs w:val="28"/>
        </w:rPr>
        <w:t xml:space="preserve"> ....................................... </w:t>
      </w:r>
      <w:r>
        <w:rPr>
          <w:rFonts w:hint="eastAsia" w:ascii="仿宋_GB2312" w:hAnsi="仿宋_GB2312" w:eastAsia="仿宋_GB2312" w:cs="仿宋_GB2312"/>
          <w:b w:val="0"/>
          <w:bCs w:val="0"/>
          <w:spacing w:val="0"/>
          <w:kern w:val="56"/>
          <w:sz w:val="28"/>
          <w:szCs w:val="28"/>
          <w:lang w:val="en-US" w:eastAsia="zh-CN"/>
        </w:rPr>
        <w:t>14</w:t>
      </w:r>
    </w:p>
    <w:p w14:paraId="0A583E99">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0" w:firstLineChars="0"/>
        <w:jc w:val="left"/>
        <w:textAlignment w:val="auto"/>
        <w:rPr>
          <w:rFonts w:hint="default" w:ascii="仿宋_GB2312" w:hAnsi="仿宋_GB2312" w:eastAsia="仿宋_GB2312" w:cs="仿宋_GB2312"/>
          <w:b w:val="0"/>
          <w:bCs w:val="0"/>
          <w:spacing w:val="0"/>
          <w:kern w:val="56"/>
          <w:sz w:val="28"/>
          <w:szCs w:val="28"/>
          <w:lang w:val="en-US" w:eastAsia="zh-CN"/>
        </w:rPr>
      </w:pPr>
      <w:r>
        <w:rPr>
          <w:rFonts w:hint="eastAsia" w:ascii="仿宋_GB2312" w:hAnsi="仿宋_GB2312" w:eastAsia="仿宋_GB2312" w:cs="仿宋_GB2312"/>
          <w:b w:val="0"/>
          <w:bCs w:val="0"/>
          <w:spacing w:val="0"/>
          <w:kern w:val="56"/>
          <w:sz w:val="28"/>
          <w:szCs w:val="28"/>
          <w:lang w:val="en-US" w:eastAsia="zh-CN"/>
        </w:rPr>
        <w:t>七</w:t>
      </w:r>
      <w:r>
        <w:rPr>
          <w:rFonts w:hint="eastAsia" w:ascii="仿宋_GB2312" w:hAnsi="仿宋_GB2312" w:eastAsia="仿宋_GB2312" w:cs="仿宋_GB2312"/>
          <w:b w:val="0"/>
          <w:bCs w:val="0"/>
          <w:spacing w:val="0"/>
          <w:kern w:val="56"/>
          <w:sz w:val="28"/>
          <w:szCs w:val="28"/>
        </w:rPr>
        <w:t>、教学进程</w:t>
      </w:r>
      <w:r>
        <w:rPr>
          <w:rFonts w:hint="eastAsia" w:ascii="仿宋_GB2312" w:hAnsi="仿宋_GB2312" w:eastAsia="仿宋_GB2312" w:cs="仿宋_GB2312"/>
          <w:b w:val="0"/>
          <w:bCs w:val="0"/>
          <w:spacing w:val="0"/>
          <w:kern w:val="56"/>
          <w:sz w:val="28"/>
          <w:szCs w:val="28"/>
          <w:lang w:val="en-US" w:eastAsia="zh-CN"/>
        </w:rPr>
        <w:t>总体安排</w:t>
      </w:r>
      <w:r>
        <w:rPr>
          <w:rFonts w:hint="eastAsia" w:ascii="仿宋_GB2312" w:hAnsi="仿宋_GB2312" w:eastAsia="仿宋_GB2312" w:cs="仿宋_GB2312"/>
          <w:b w:val="0"/>
          <w:bCs w:val="0"/>
          <w:spacing w:val="0"/>
          <w:kern w:val="56"/>
          <w:sz w:val="28"/>
          <w:szCs w:val="28"/>
        </w:rPr>
        <w:t>安</w:t>
      </w:r>
      <w:r>
        <w:rPr>
          <w:rFonts w:hint="eastAsia" w:ascii="仿宋_GB2312" w:hAnsi="仿宋_GB2312" w:eastAsia="仿宋_GB2312" w:cs="仿宋_GB2312"/>
          <w:b w:val="0"/>
          <w:bCs w:val="0"/>
          <w:spacing w:val="0"/>
          <w:kern w:val="56"/>
          <w:sz w:val="28"/>
          <w:szCs w:val="28"/>
          <w:lang w:val="en-US" w:eastAsia="zh-CN"/>
        </w:rPr>
        <w:t>排</w:t>
      </w:r>
      <w:r>
        <w:rPr>
          <w:rFonts w:hint="eastAsia" w:ascii="仿宋_GB2312" w:hAnsi="仿宋_GB2312" w:eastAsia="仿宋_GB2312" w:cs="仿宋_GB2312"/>
          <w:b w:val="0"/>
          <w:bCs w:val="0"/>
          <w:spacing w:val="0"/>
          <w:kern w:val="56"/>
          <w:sz w:val="28"/>
          <w:szCs w:val="28"/>
        </w:rPr>
        <w:t>表 ................................</w:t>
      </w:r>
      <w:r>
        <w:rPr>
          <w:rFonts w:hint="eastAsia" w:ascii="仿宋_GB2312" w:hAnsi="仿宋_GB2312" w:eastAsia="仿宋_GB2312" w:cs="仿宋_GB2312"/>
          <w:b w:val="0"/>
          <w:bCs w:val="0"/>
          <w:spacing w:val="0"/>
          <w:kern w:val="56"/>
          <w:sz w:val="28"/>
          <w:szCs w:val="28"/>
          <w:lang w:val="en-US" w:eastAsia="zh-CN"/>
        </w:rPr>
        <w:t>15</w:t>
      </w:r>
    </w:p>
    <w:p w14:paraId="2CE093F0">
      <w:pPr>
        <w:pStyle w:val="4"/>
        <w:keepNext w:val="0"/>
        <w:keepLines w:val="0"/>
        <w:pageBreakBefore w:val="0"/>
        <w:widowControl w:val="0"/>
        <w:kinsoku/>
        <w:wordWrap/>
        <w:overflowPunct/>
        <w:topLinePunct w:val="0"/>
        <w:autoSpaceDE w:val="0"/>
        <w:autoSpaceDN w:val="0"/>
        <w:bidi w:val="0"/>
        <w:adjustRightInd/>
        <w:snapToGrid/>
        <w:spacing w:before="0" w:line="560" w:lineRule="exact"/>
        <w:ind w:left="0" w:leftChars="0" w:right="0" w:firstLine="0" w:firstLineChars="0"/>
        <w:jc w:val="left"/>
        <w:textAlignment w:val="auto"/>
        <w:rPr>
          <w:rFonts w:hint="default" w:ascii="仿宋_GB2312" w:hAnsi="仿宋_GB2312" w:eastAsia="仿宋_GB2312" w:cs="仿宋_GB2312"/>
          <w:b w:val="0"/>
          <w:bCs w:val="0"/>
          <w:spacing w:val="0"/>
          <w:kern w:val="56"/>
          <w:sz w:val="28"/>
          <w:szCs w:val="28"/>
          <w:lang w:val="en-US" w:eastAsia="zh-CN"/>
        </w:rPr>
      </w:pPr>
      <w:r>
        <w:rPr>
          <w:rFonts w:hint="eastAsia" w:ascii="仿宋_GB2312" w:hAnsi="仿宋_GB2312" w:eastAsia="仿宋_GB2312" w:cs="仿宋_GB2312"/>
          <w:b w:val="0"/>
          <w:bCs w:val="0"/>
          <w:spacing w:val="0"/>
          <w:kern w:val="56"/>
          <w:sz w:val="28"/>
          <w:szCs w:val="28"/>
          <w:lang w:val="en-US" w:eastAsia="zh-CN"/>
        </w:rPr>
        <w:t>八</w:t>
      </w:r>
      <w:r>
        <w:rPr>
          <w:rFonts w:hint="eastAsia" w:ascii="仿宋_GB2312" w:hAnsi="仿宋_GB2312" w:eastAsia="仿宋_GB2312" w:cs="仿宋_GB2312"/>
          <w:b w:val="0"/>
          <w:bCs w:val="0"/>
          <w:spacing w:val="0"/>
          <w:kern w:val="56"/>
          <w:sz w:val="28"/>
          <w:szCs w:val="28"/>
        </w:rPr>
        <w:t>、实施保障 ............................................ .</w:t>
      </w:r>
      <w:r>
        <w:rPr>
          <w:rFonts w:hint="eastAsia" w:ascii="仿宋_GB2312" w:hAnsi="仿宋_GB2312" w:eastAsia="仿宋_GB2312" w:cs="仿宋_GB2312"/>
          <w:b w:val="0"/>
          <w:bCs w:val="0"/>
          <w:spacing w:val="0"/>
          <w:kern w:val="56"/>
          <w:sz w:val="28"/>
          <w:szCs w:val="28"/>
          <w:lang w:val="en-US" w:eastAsia="zh-CN"/>
        </w:rPr>
        <w:t>16</w:t>
      </w:r>
    </w:p>
    <w:p w14:paraId="2861E378">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default" w:ascii="仿宋_GB2312" w:hAnsi="仿宋_GB2312" w:eastAsia="仿宋_GB2312" w:cs="仿宋_GB2312"/>
          <w:b w:val="0"/>
          <w:bCs w:val="0"/>
          <w:spacing w:val="0"/>
          <w:kern w:val="56"/>
          <w:sz w:val="28"/>
          <w:szCs w:val="28"/>
          <w:lang w:val="en-US" w:eastAsia="zh-CN"/>
        </w:rPr>
      </w:pPr>
      <w:r>
        <w:rPr>
          <w:rFonts w:hint="eastAsia" w:ascii="仿宋_GB2312" w:hAnsi="仿宋_GB2312" w:eastAsia="仿宋_GB2312" w:cs="仿宋_GB2312"/>
          <w:b w:val="0"/>
          <w:bCs w:val="0"/>
          <w:spacing w:val="0"/>
          <w:kern w:val="56"/>
          <w:sz w:val="28"/>
          <w:szCs w:val="28"/>
        </w:rPr>
        <w:t xml:space="preserve">（一）师资队伍 ....................................... </w:t>
      </w:r>
      <w:r>
        <w:rPr>
          <w:rFonts w:hint="eastAsia" w:ascii="仿宋_GB2312" w:hAnsi="仿宋_GB2312" w:eastAsia="仿宋_GB2312" w:cs="仿宋_GB2312"/>
          <w:b w:val="0"/>
          <w:bCs w:val="0"/>
          <w:spacing w:val="0"/>
          <w:kern w:val="56"/>
          <w:sz w:val="28"/>
          <w:szCs w:val="28"/>
          <w:lang w:val="en-US" w:eastAsia="zh-CN"/>
        </w:rPr>
        <w:t>16</w:t>
      </w:r>
    </w:p>
    <w:p w14:paraId="5CCF31E5">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default" w:ascii="仿宋_GB2312" w:hAnsi="仿宋_GB2312" w:eastAsia="仿宋_GB2312" w:cs="仿宋_GB2312"/>
          <w:b w:val="0"/>
          <w:bCs w:val="0"/>
          <w:spacing w:val="0"/>
          <w:kern w:val="56"/>
          <w:sz w:val="28"/>
          <w:szCs w:val="28"/>
          <w:lang w:val="en-US" w:eastAsia="zh-CN"/>
        </w:rPr>
      </w:pPr>
      <w:r>
        <w:rPr>
          <w:rFonts w:hint="eastAsia" w:ascii="仿宋_GB2312" w:hAnsi="仿宋_GB2312" w:eastAsia="仿宋_GB2312" w:cs="仿宋_GB2312"/>
          <w:b w:val="0"/>
          <w:bCs w:val="0"/>
          <w:spacing w:val="0"/>
          <w:kern w:val="56"/>
          <w:sz w:val="28"/>
          <w:szCs w:val="28"/>
        </w:rPr>
        <w:t xml:space="preserve">（二）教学设施 ....................................... </w:t>
      </w:r>
      <w:r>
        <w:rPr>
          <w:rFonts w:hint="eastAsia" w:ascii="仿宋_GB2312" w:hAnsi="仿宋_GB2312" w:eastAsia="仿宋_GB2312" w:cs="仿宋_GB2312"/>
          <w:b w:val="0"/>
          <w:bCs w:val="0"/>
          <w:spacing w:val="0"/>
          <w:kern w:val="56"/>
          <w:sz w:val="28"/>
          <w:szCs w:val="28"/>
          <w:lang w:val="en-US" w:eastAsia="zh-CN"/>
        </w:rPr>
        <w:t>17</w:t>
      </w:r>
    </w:p>
    <w:p w14:paraId="1E1B8565">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default" w:ascii="仿宋_GB2312" w:hAnsi="仿宋_GB2312" w:eastAsia="仿宋_GB2312" w:cs="仿宋_GB2312"/>
          <w:b w:val="0"/>
          <w:bCs w:val="0"/>
          <w:spacing w:val="0"/>
          <w:kern w:val="56"/>
          <w:sz w:val="28"/>
          <w:szCs w:val="28"/>
          <w:lang w:val="en-US" w:eastAsia="zh-CN"/>
        </w:rPr>
      </w:pPr>
      <w:r>
        <w:rPr>
          <w:rFonts w:hint="eastAsia" w:ascii="仿宋_GB2312" w:hAnsi="仿宋_GB2312" w:eastAsia="仿宋_GB2312" w:cs="仿宋_GB2312"/>
          <w:b w:val="0"/>
          <w:bCs w:val="0"/>
          <w:spacing w:val="0"/>
          <w:kern w:val="56"/>
          <w:sz w:val="28"/>
          <w:szCs w:val="28"/>
        </w:rPr>
        <w:t xml:space="preserve">（三）教学资源 ....................................... </w:t>
      </w:r>
      <w:r>
        <w:rPr>
          <w:rFonts w:hint="eastAsia" w:ascii="仿宋_GB2312" w:hAnsi="仿宋_GB2312" w:eastAsia="仿宋_GB2312" w:cs="仿宋_GB2312"/>
          <w:b w:val="0"/>
          <w:bCs w:val="0"/>
          <w:spacing w:val="0"/>
          <w:kern w:val="56"/>
          <w:sz w:val="28"/>
          <w:szCs w:val="28"/>
          <w:lang w:val="en-US" w:eastAsia="zh-CN"/>
        </w:rPr>
        <w:t>20</w:t>
      </w:r>
    </w:p>
    <w:p w14:paraId="77FCE2AE">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eastAsia" w:ascii="仿宋_GB2312" w:hAnsi="仿宋_GB2312" w:eastAsia="仿宋_GB2312" w:cs="仿宋_GB2312"/>
          <w:b w:val="0"/>
          <w:bCs w:val="0"/>
          <w:spacing w:val="0"/>
          <w:kern w:val="56"/>
          <w:sz w:val="28"/>
          <w:szCs w:val="28"/>
          <w:lang w:val="en-US" w:eastAsia="zh-CN"/>
        </w:rPr>
      </w:pPr>
      <w:r>
        <w:rPr>
          <w:rFonts w:hint="eastAsia" w:ascii="仿宋_GB2312" w:hAnsi="仿宋_GB2312" w:eastAsia="仿宋_GB2312" w:cs="仿宋_GB2312"/>
          <w:b w:val="0"/>
          <w:bCs w:val="0"/>
          <w:spacing w:val="0"/>
          <w:kern w:val="56"/>
          <w:sz w:val="28"/>
          <w:szCs w:val="28"/>
        </w:rPr>
        <w:t>（四）教学方法 ....................................... 2</w:t>
      </w:r>
      <w:r>
        <w:rPr>
          <w:rFonts w:hint="eastAsia" w:ascii="仿宋_GB2312" w:hAnsi="仿宋_GB2312" w:eastAsia="仿宋_GB2312" w:cs="仿宋_GB2312"/>
          <w:b w:val="0"/>
          <w:bCs w:val="0"/>
          <w:spacing w:val="0"/>
          <w:kern w:val="56"/>
          <w:sz w:val="28"/>
          <w:szCs w:val="28"/>
          <w:lang w:val="en-US" w:eastAsia="zh-CN"/>
        </w:rPr>
        <w:t>1</w:t>
      </w:r>
    </w:p>
    <w:p w14:paraId="6068F1A1">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eastAsia" w:ascii="仿宋_GB2312" w:hAnsi="仿宋_GB2312" w:eastAsia="仿宋_GB2312" w:cs="仿宋_GB2312"/>
          <w:b w:val="0"/>
          <w:bCs w:val="0"/>
          <w:spacing w:val="0"/>
          <w:kern w:val="56"/>
          <w:sz w:val="28"/>
          <w:szCs w:val="28"/>
          <w:lang w:val="en-US" w:eastAsia="zh-CN"/>
        </w:rPr>
      </w:pPr>
      <w:r>
        <w:rPr>
          <w:rFonts w:hint="eastAsia" w:ascii="仿宋_GB2312" w:hAnsi="仿宋_GB2312" w:eastAsia="仿宋_GB2312" w:cs="仿宋_GB2312"/>
          <w:b w:val="0"/>
          <w:bCs w:val="0"/>
          <w:spacing w:val="0"/>
          <w:kern w:val="56"/>
          <w:sz w:val="28"/>
          <w:szCs w:val="28"/>
        </w:rPr>
        <w:t>（五）教学评价 ....................................... 2</w:t>
      </w:r>
      <w:r>
        <w:rPr>
          <w:rFonts w:hint="eastAsia" w:ascii="仿宋_GB2312" w:hAnsi="仿宋_GB2312" w:eastAsia="仿宋_GB2312" w:cs="仿宋_GB2312"/>
          <w:b w:val="0"/>
          <w:bCs w:val="0"/>
          <w:spacing w:val="0"/>
          <w:kern w:val="56"/>
          <w:sz w:val="28"/>
          <w:szCs w:val="28"/>
          <w:lang w:val="en-US" w:eastAsia="zh-CN"/>
        </w:rPr>
        <w:t>1</w:t>
      </w:r>
    </w:p>
    <w:p w14:paraId="1608814B">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560" w:firstLineChars="200"/>
        <w:jc w:val="left"/>
        <w:textAlignment w:val="auto"/>
        <w:rPr>
          <w:rFonts w:hint="default" w:ascii="仿宋_GB2312" w:hAnsi="仿宋_GB2312" w:eastAsia="仿宋_GB2312" w:cs="仿宋_GB2312"/>
          <w:b w:val="0"/>
          <w:bCs w:val="0"/>
          <w:spacing w:val="0"/>
          <w:kern w:val="56"/>
          <w:sz w:val="28"/>
          <w:szCs w:val="28"/>
          <w:lang w:val="en-US" w:eastAsia="zh-CN"/>
        </w:rPr>
      </w:pPr>
      <w:r>
        <w:rPr>
          <w:rFonts w:hint="eastAsia" w:ascii="仿宋_GB2312" w:hAnsi="仿宋_GB2312" w:eastAsia="仿宋_GB2312" w:cs="仿宋_GB2312"/>
          <w:b w:val="0"/>
          <w:bCs w:val="0"/>
          <w:spacing w:val="0"/>
          <w:kern w:val="56"/>
          <w:sz w:val="28"/>
          <w:szCs w:val="28"/>
        </w:rPr>
        <w:t xml:space="preserve">（六）质量管理 ....................................... </w:t>
      </w:r>
      <w:r>
        <w:rPr>
          <w:rFonts w:hint="eastAsia" w:ascii="仿宋_GB2312" w:hAnsi="仿宋_GB2312" w:eastAsia="仿宋_GB2312" w:cs="仿宋_GB2312"/>
          <w:b w:val="0"/>
          <w:bCs w:val="0"/>
          <w:spacing w:val="0"/>
          <w:kern w:val="56"/>
          <w:sz w:val="28"/>
          <w:szCs w:val="28"/>
          <w:lang w:val="en-US" w:eastAsia="zh-CN"/>
        </w:rPr>
        <w:t>21</w:t>
      </w:r>
    </w:p>
    <w:p w14:paraId="088B3AF7">
      <w:pPr>
        <w:pStyle w:val="4"/>
        <w:keepNext w:val="0"/>
        <w:keepLines w:val="0"/>
        <w:pageBreakBefore w:val="0"/>
        <w:widowControl w:val="0"/>
        <w:kinsoku/>
        <w:wordWrap/>
        <w:overflowPunct/>
        <w:topLinePunct w:val="0"/>
        <w:autoSpaceDE w:val="0"/>
        <w:autoSpaceDN w:val="0"/>
        <w:bidi w:val="0"/>
        <w:adjustRightInd/>
        <w:snapToGrid/>
        <w:spacing w:before="0" w:line="560" w:lineRule="exact"/>
        <w:ind w:left="0" w:leftChars="0" w:right="0" w:firstLine="280" w:firstLineChars="100"/>
        <w:jc w:val="left"/>
        <w:textAlignment w:val="auto"/>
        <w:rPr>
          <w:rFonts w:hint="default" w:ascii="仿宋_GB2312" w:hAnsi="仿宋_GB2312" w:eastAsia="仿宋_GB2312" w:cs="仿宋_GB2312"/>
          <w:b w:val="0"/>
          <w:bCs w:val="0"/>
          <w:spacing w:val="0"/>
          <w:kern w:val="56"/>
          <w:sz w:val="28"/>
          <w:szCs w:val="28"/>
          <w:lang w:val="en-US" w:eastAsia="zh-CN" w:bidi="zh-CN"/>
        </w:rPr>
      </w:pPr>
      <w:r>
        <w:rPr>
          <w:rFonts w:hint="eastAsia" w:ascii="仿宋_GB2312" w:hAnsi="仿宋_GB2312" w:eastAsia="仿宋_GB2312" w:cs="仿宋_GB2312"/>
          <w:b w:val="0"/>
          <w:bCs w:val="0"/>
          <w:spacing w:val="0"/>
          <w:kern w:val="56"/>
          <w:sz w:val="28"/>
          <w:szCs w:val="28"/>
          <w:lang w:val="en-US" w:eastAsia="zh-CN"/>
        </w:rPr>
        <w:t>九</w:t>
      </w:r>
      <w:r>
        <w:rPr>
          <w:rFonts w:hint="eastAsia" w:ascii="仿宋_GB2312" w:hAnsi="仿宋_GB2312" w:eastAsia="仿宋_GB2312" w:cs="仿宋_GB2312"/>
          <w:b w:val="0"/>
          <w:bCs w:val="0"/>
          <w:spacing w:val="0"/>
          <w:kern w:val="56"/>
          <w:sz w:val="28"/>
          <w:szCs w:val="28"/>
        </w:rPr>
        <w:t>、毕业要求 ...................................</w:t>
      </w:r>
      <w:r>
        <w:rPr>
          <w:rFonts w:hint="eastAsia" w:ascii="仿宋_GB2312" w:hAnsi="仿宋_GB2312" w:eastAsia="仿宋_GB2312" w:cs="仿宋_GB2312"/>
          <w:b w:val="0"/>
          <w:bCs w:val="0"/>
          <w:spacing w:val="0"/>
          <w:kern w:val="56"/>
          <w:sz w:val="28"/>
          <w:szCs w:val="28"/>
          <w:lang w:val="en-US" w:eastAsia="zh-CN"/>
        </w:rPr>
        <w:t xml:space="preserve"> </w:t>
      </w:r>
      <w:r>
        <w:rPr>
          <w:rFonts w:hint="eastAsia" w:ascii="仿宋_GB2312" w:hAnsi="仿宋_GB2312" w:eastAsia="仿宋_GB2312" w:cs="仿宋_GB2312"/>
          <w:b w:val="0"/>
          <w:bCs w:val="0"/>
          <w:spacing w:val="0"/>
          <w:kern w:val="56"/>
          <w:sz w:val="28"/>
          <w:szCs w:val="28"/>
        </w:rPr>
        <w:t>........</w:t>
      </w:r>
      <w:r>
        <w:rPr>
          <w:rFonts w:hint="eastAsia" w:ascii="仿宋_GB2312" w:hAnsi="仿宋_GB2312" w:eastAsia="仿宋_GB2312" w:cs="仿宋_GB2312"/>
          <w:b w:val="0"/>
          <w:bCs w:val="0"/>
          <w:spacing w:val="0"/>
          <w:kern w:val="56"/>
          <w:sz w:val="28"/>
          <w:szCs w:val="28"/>
          <w:lang w:val="en-US" w:eastAsia="zh-CN"/>
        </w:rPr>
        <w:t>23</w:t>
      </w:r>
    </w:p>
    <w:p w14:paraId="18AD367F">
      <w:pPr>
        <w:keepNext w:val="0"/>
        <w:keepLines w:val="0"/>
        <w:pageBreakBefore w:val="0"/>
        <w:kinsoku/>
        <w:wordWrap/>
        <w:overflowPunct/>
        <w:topLinePunct w:val="0"/>
        <w:bidi w:val="0"/>
        <w:spacing w:line="560" w:lineRule="exact"/>
        <w:ind w:left="0" w:right="0" w:firstLine="560" w:firstLineChars="200"/>
        <w:jc w:val="left"/>
        <w:rPr>
          <w:rFonts w:hint="eastAsia" w:ascii="仿宋_GB2312" w:hAnsi="仿宋_GB2312" w:eastAsia="仿宋_GB2312" w:cs="仿宋_GB2312"/>
          <w:b w:val="0"/>
          <w:bCs w:val="0"/>
          <w:spacing w:val="0"/>
          <w:kern w:val="56"/>
          <w:sz w:val="28"/>
          <w:szCs w:val="28"/>
        </w:rPr>
        <w:sectPr>
          <w:pgSz w:w="11910" w:h="16840"/>
          <w:pgMar w:top="2098" w:right="1474" w:bottom="1984" w:left="1587" w:header="720" w:footer="720" w:gutter="0"/>
          <w:cols w:space="720" w:num="1"/>
        </w:sectPr>
      </w:pPr>
    </w:p>
    <w:p w14:paraId="0886C09A">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880" w:firstLineChars="200"/>
        <w:jc w:val="center"/>
        <w:textAlignment w:val="auto"/>
        <w:rPr>
          <w:rFonts w:hint="eastAsia" w:ascii="方正小标宋简体" w:hAnsi="方正小标宋简体" w:eastAsia="方正小标宋简体" w:cs="方正小标宋简体"/>
          <w:b w:val="0"/>
          <w:bCs w:val="0"/>
          <w:spacing w:val="0"/>
          <w:kern w:val="56"/>
          <w:sz w:val="44"/>
          <w:szCs w:val="44"/>
        </w:rPr>
      </w:pPr>
      <w:r>
        <w:rPr>
          <w:rFonts w:hint="eastAsia" w:ascii="方正小标宋简体" w:hAnsi="方正小标宋简体" w:eastAsia="方正小标宋简体" w:cs="方正小标宋简体"/>
          <w:b w:val="0"/>
          <w:bCs w:val="0"/>
          <w:spacing w:val="0"/>
          <w:kern w:val="56"/>
          <w:sz w:val="44"/>
          <w:szCs w:val="44"/>
          <w:lang w:val="en-US" w:eastAsia="zh-CN"/>
        </w:rPr>
        <w:t>火电厂热力设备运行与检修</w:t>
      </w:r>
      <w:r>
        <w:rPr>
          <w:rFonts w:hint="eastAsia" w:ascii="方正小标宋简体" w:hAnsi="方正小标宋简体" w:eastAsia="方正小标宋简体" w:cs="方正小标宋简体"/>
          <w:b w:val="0"/>
          <w:bCs w:val="0"/>
          <w:spacing w:val="0"/>
          <w:kern w:val="56"/>
          <w:sz w:val="44"/>
          <w:szCs w:val="44"/>
        </w:rPr>
        <w:t>专业</w:t>
      </w:r>
    </w:p>
    <w:p w14:paraId="43D02AF9">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880" w:firstLineChars="200"/>
        <w:jc w:val="center"/>
        <w:textAlignment w:val="auto"/>
        <w:rPr>
          <w:rFonts w:hint="eastAsia" w:ascii="方正小标宋简体" w:hAnsi="方正小标宋简体" w:eastAsia="方正小标宋简体" w:cs="方正小标宋简体"/>
          <w:b w:val="0"/>
          <w:bCs w:val="0"/>
          <w:spacing w:val="0"/>
          <w:kern w:val="56"/>
          <w:sz w:val="44"/>
          <w:szCs w:val="44"/>
          <w:lang w:val="en-US" w:eastAsia="zh-CN"/>
        </w:rPr>
      </w:pPr>
      <w:r>
        <w:rPr>
          <w:rFonts w:hint="eastAsia" w:ascii="方正小标宋简体" w:hAnsi="方正小标宋简体" w:eastAsia="方正小标宋简体" w:cs="方正小标宋简体"/>
          <w:b w:val="0"/>
          <w:bCs w:val="0"/>
          <w:spacing w:val="0"/>
          <w:kern w:val="56"/>
          <w:sz w:val="44"/>
          <w:szCs w:val="44"/>
          <w:lang w:val="en-US" w:eastAsia="zh-CN"/>
        </w:rPr>
        <w:t>人才培养方案</w:t>
      </w:r>
    </w:p>
    <w:p w14:paraId="0CA3CFD5">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黑体" w:hAnsi="黑体" w:eastAsia="黑体" w:cs="黑体"/>
          <w:b w:val="0"/>
          <w:bCs w:val="0"/>
          <w:spacing w:val="0"/>
          <w:kern w:val="56"/>
          <w:sz w:val="32"/>
          <w:szCs w:val="32"/>
        </w:rPr>
      </w:pPr>
      <w:bookmarkStart w:id="2" w:name="_bookmark0"/>
      <w:bookmarkEnd w:id="2"/>
      <w:r>
        <w:rPr>
          <w:rFonts w:hint="eastAsia" w:ascii="黑体" w:hAnsi="黑体" w:eastAsia="黑体" w:cs="黑体"/>
          <w:b w:val="0"/>
          <w:bCs w:val="0"/>
          <w:spacing w:val="0"/>
          <w:kern w:val="56"/>
          <w:sz w:val="32"/>
          <w:szCs w:val="32"/>
          <w:lang w:val="en-US" w:eastAsia="zh-CN"/>
        </w:rPr>
        <w:t>一、</w:t>
      </w:r>
      <w:r>
        <w:rPr>
          <w:rFonts w:hint="eastAsia" w:ascii="黑体" w:hAnsi="黑体" w:eastAsia="黑体" w:cs="黑体"/>
          <w:b w:val="0"/>
          <w:bCs w:val="0"/>
          <w:spacing w:val="0"/>
          <w:kern w:val="56"/>
          <w:sz w:val="32"/>
          <w:szCs w:val="32"/>
        </w:rPr>
        <w:t>专业名称与代码</w:t>
      </w:r>
    </w:p>
    <w:p w14:paraId="3E57D265">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1.专业大类：能源动力与材料大类（代码：63）</w:t>
      </w:r>
    </w:p>
    <w:p w14:paraId="5976530B">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2.专业类别：热能与发电工程类（代码：6603）</w:t>
      </w:r>
    </w:p>
    <w:p w14:paraId="050651B5">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 xml:space="preserve">3.专业名称：火电厂热力设备运行与检修（代码：630203） </w:t>
      </w:r>
    </w:p>
    <w:p w14:paraId="28F61B9A">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黑体" w:hAnsi="黑体" w:eastAsia="黑体" w:cs="黑体"/>
          <w:b w:val="0"/>
          <w:bCs w:val="0"/>
          <w:spacing w:val="0"/>
          <w:kern w:val="56"/>
          <w:sz w:val="32"/>
          <w:szCs w:val="32"/>
          <w:lang w:val="en-US" w:eastAsia="zh-CN"/>
        </w:rPr>
      </w:pPr>
      <w:bookmarkStart w:id="3" w:name="_bookmark1"/>
      <w:bookmarkEnd w:id="3"/>
      <w:r>
        <w:rPr>
          <w:rFonts w:hint="eastAsia" w:ascii="黑体" w:hAnsi="黑体" w:eastAsia="黑体" w:cs="黑体"/>
          <w:b w:val="0"/>
          <w:bCs w:val="0"/>
          <w:spacing w:val="0"/>
          <w:kern w:val="56"/>
          <w:sz w:val="32"/>
          <w:szCs w:val="32"/>
          <w:lang w:val="en-US" w:eastAsia="zh-CN"/>
        </w:rPr>
        <w:t>二、入学要求与学制</w:t>
      </w:r>
    </w:p>
    <w:p w14:paraId="6BA83A6A">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 xml:space="preserve">入学要求：初中毕业生或具有同等学历者 </w:t>
      </w:r>
    </w:p>
    <w:p w14:paraId="04E05FC6">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 xml:space="preserve">学制：3年 </w:t>
      </w:r>
    </w:p>
    <w:p w14:paraId="302FD883">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黑体" w:hAnsi="黑体" w:eastAsia="黑体" w:cs="黑体"/>
          <w:b w:val="0"/>
          <w:bCs w:val="0"/>
          <w:spacing w:val="0"/>
          <w:kern w:val="56"/>
          <w:sz w:val="32"/>
          <w:szCs w:val="32"/>
          <w:lang w:val="en-US" w:eastAsia="zh-CN"/>
        </w:rPr>
      </w:pPr>
      <w:bookmarkStart w:id="4" w:name="_bookmark2"/>
      <w:bookmarkEnd w:id="4"/>
      <w:r>
        <w:rPr>
          <w:rFonts w:hint="eastAsia" w:ascii="黑体" w:hAnsi="黑体" w:eastAsia="黑体" w:cs="黑体"/>
          <w:b w:val="0"/>
          <w:bCs w:val="0"/>
          <w:spacing w:val="0"/>
          <w:kern w:val="56"/>
          <w:sz w:val="32"/>
          <w:szCs w:val="32"/>
          <w:lang w:val="en-US" w:eastAsia="zh-CN"/>
        </w:rPr>
        <w:t>三、培养目标</w:t>
      </w:r>
    </w:p>
    <w:p w14:paraId="44169EB1">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本专业坚持立德树人，德技并修，面向加工制造业和现代服务业，培养与当地经济建设要求相适应，德、智、体、美、劳全面发展，具有良好的职业道德和职业素养，掌握火电厂热力设备运行与检修专业对应职业岗位必备的知识与技能，能从事火电厂热力设备及系统的参数监视、巡回检查、启停操作、运行调整、常见故障处理和热力设备检修等工作的技术技能人才。</w:t>
      </w:r>
    </w:p>
    <w:p w14:paraId="7DB9E237">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黑体" w:hAnsi="黑体" w:eastAsia="黑体" w:cs="黑体"/>
          <w:b w:val="0"/>
          <w:bCs w:val="0"/>
          <w:spacing w:val="0"/>
          <w:kern w:val="56"/>
          <w:sz w:val="32"/>
          <w:szCs w:val="32"/>
          <w:lang w:val="en-US" w:eastAsia="zh-CN"/>
        </w:rPr>
      </w:pPr>
      <w:bookmarkStart w:id="5" w:name="_bookmark3"/>
      <w:bookmarkEnd w:id="5"/>
      <w:r>
        <w:rPr>
          <w:rFonts w:hint="eastAsia" w:ascii="黑体" w:hAnsi="黑体" w:eastAsia="黑体" w:cs="黑体"/>
          <w:b w:val="0"/>
          <w:bCs w:val="0"/>
          <w:spacing w:val="0"/>
          <w:kern w:val="56"/>
          <w:sz w:val="32"/>
          <w:szCs w:val="32"/>
          <w:lang w:val="en-US" w:eastAsia="zh-CN"/>
        </w:rPr>
        <w:t>四、职业（岗位）面向、职业资格及继续学习专业</w:t>
      </w:r>
    </w:p>
    <w:p w14:paraId="6ED6A8C5">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2240" w:firstLineChars="7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表一 职业面向与发展</w:t>
      </w:r>
    </w:p>
    <w:p w14:paraId="57535F18">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0" w:firstLineChars="0"/>
        <w:textAlignment w:val="auto"/>
        <w:rPr>
          <w:rFonts w:hint="eastAsia" w:ascii="仿宋_GB2312" w:hAnsi="仿宋_GB2312" w:eastAsia="仿宋_GB2312" w:cs="仿宋_GB2312"/>
          <w:b w:val="0"/>
          <w:bCs w:val="0"/>
          <w:spacing w:val="0"/>
          <w:kern w:val="56"/>
          <w:sz w:val="32"/>
          <w:szCs w:val="32"/>
          <w:lang w:val="en-US" w:eastAsia="zh-CN"/>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07"/>
        <w:gridCol w:w="2160"/>
        <w:gridCol w:w="2033"/>
        <w:gridCol w:w="1515"/>
        <w:gridCol w:w="1478"/>
      </w:tblGrid>
      <w:tr w14:paraId="258C8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0" w:hRule="atLeast"/>
          <w:jc w:val="center"/>
        </w:trPr>
        <w:tc>
          <w:tcPr>
            <w:tcW w:w="1607" w:type="dxa"/>
            <w:vAlign w:val="center"/>
          </w:tcPr>
          <w:p w14:paraId="77A20C4B">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420" w:firstLineChars="200"/>
              <w:jc w:val="center"/>
              <w:textAlignment w:val="auto"/>
              <w:rPr>
                <w:rFonts w:ascii="仿宋_GB2312" w:hAnsi="仿宋_GB2312" w:eastAsia="仿宋_GB2312" w:cs="仿宋_GB2312"/>
                <w:b w:val="0"/>
                <w:bCs w:val="0"/>
                <w:spacing w:val="0"/>
                <w:kern w:val="56"/>
                <w:sz w:val="21"/>
                <w:szCs w:val="21"/>
              </w:rPr>
            </w:pPr>
            <w:r>
              <w:rPr>
                <w:rFonts w:ascii="仿宋_GB2312" w:hAnsi="仿宋_GB2312" w:eastAsia="仿宋_GB2312" w:cs="仿宋_GB2312"/>
                <w:b w:val="0"/>
                <w:bCs w:val="0"/>
                <w:spacing w:val="0"/>
                <w:kern w:val="56"/>
                <w:sz w:val="21"/>
                <w:szCs w:val="21"/>
              </w:rPr>
              <w:t>专门化方向</w:t>
            </w:r>
          </w:p>
        </w:tc>
        <w:tc>
          <w:tcPr>
            <w:tcW w:w="2160" w:type="dxa"/>
            <w:vAlign w:val="center"/>
          </w:tcPr>
          <w:p w14:paraId="5966E689">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ascii="仿宋_GB2312" w:hAnsi="仿宋_GB2312" w:eastAsia="仿宋_GB2312" w:cs="仿宋_GB2312"/>
                <w:b w:val="0"/>
                <w:bCs w:val="0"/>
                <w:spacing w:val="0"/>
                <w:kern w:val="56"/>
                <w:sz w:val="21"/>
                <w:szCs w:val="21"/>
              </w:rPr>
            </w:pPr>
            <w:r>
              <w:rPr>
                <w:rFonts w:ascii="仿宋_GB2312" w:hAnsi="仿宋_GB2312" w:eastAsia="仿宋_GB2312" w:cs="仿宋_GB2312"/>
                <w:b w:val="0"/>
                <w:bCs w:val="0"/>
                <w:spacing w:val="0"/>
                <w:kern w:val="56"/>
                <w:sz w:val="21"/>
                <w:szCs w:val="21"/>
              </w:rPr>
              <w:t>职业（岗位）</w:t>
            </w:r>
          </w:p>
        </w:tc>
        <w:tc>
          <w:tcPr>
            <w:tcW w:w="2033" w:type="dxa"/>
            <w:vAlign w:val="center"/>
          </w:tcPr>
          <w:p w14:paraId="652A80AC">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ascii="仿宋_GB2312" w:hAnsi="仿宋_GB2312" w:eastAsia="仿宋_GB2312" w:cs="仿宋_GB2312"/>
                <w:b w:val="0"/>
                <w:bCs w:val="0"/>
                <w:spacing w:val="0"/>
                <w:kern w:val="56"/>
                <w:sz w:val="21"/>
                <w:szCs w:val="21"/>
              </w:rPr>
            </w:pPr>
            <w:r>
              <w:rPr>
                <w:rFonts w:ascii="仿宋_GB2312" w:hAnsi="仿宋_GB2312" w:eastAsia="仿宋_GB2312" w:cs="仿宋_GB2312"/>
                <w:b w:val="0"/>
                <w:bCs w:val="0"/>
                <w:spacing w:val="0"/>
                <w:kern w:val="56"/>
                <w:sz w:val="21"/>
                <w:szCs w:val="21"/>
              </w:rPr>
              <w:t>职业资格要求</w:t>
            </w:r>
          </w:p>
        </w:tc>
        <w:tc>
          <w:tcPr>
            <w:tcW w:w="2993" w:type="dxa"/>
            <w:gridSpan w:val="2"/>
            <w:vAlign w:val="center"/>
          </w:tcPr>
          <w:p w14:paraId="76B7C987">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ascii="仿宋_GB2312" w:hAnsi="仿宋_GB2312" w:eastAsia="仿宋_GB2312" w:cs="仿宋_GB2312"/>
                <w:b w:val="0"/>
                <w:bCs w:val="0"/>
                <w:spacing w:val="0"/>
                <w:kern w:val="56"/>
                <w:sz w:val="21"/>
                <w:szCs w:val="21"/>
              </w:rPr>
            </w:pPr>
            <w:r>
              <w:rPr>
                <w:rFonts w:ascii="仿宋_GB2312" w:hAnsi="仿宋_GB2312" w:eastAsia="仿宋_GB2312" w:cs="仿宋_GB2312"/>
                <w:b w:val="0"/>
                <w:bCs w:val="0"/>
                <w:spacing w:val="0"/>
                <w:kern w:val="56"/>
                <w:sz w:val="21"/>
                <w:szCs w:val="21"/>
              </w:rPr>
              <w:t>继续学习专业</w:t>
            </w:r>
          </w:p>
        </w:tc>
      </w:tr>
      <w:tr w14:paraId="54CD28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jc w:val="center"/>
        </w:trPr>
        <w:tc>
          <w:tcPr>
            <w:tcW w:w="1607" w:type="dxa"/>
            <w:vAlign w:val="center"/>
          </w:tcPr>
          <w:p w14:paraId="7060593B">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420" w:firstLineChars="200"/>
              <w:jc w:val="center"/>
              <w:textAlignment w:val="auto"/>
              <w:rPr>
                <w:rFonts w:hint="eastAsia"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设备运行</w:t>
            </w:r>
          </w:p>
        </w:tc>
        <w:tc>
          <w:tcPr>
            <w:tcW w:w="2160" w:type="dxa"/>
            <w:vMerge w:val="restart"/>
            <w:vAlign w:val="center"/>
          </w:tcPr>
          <w:p w14:paraId="313E0337">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default"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锅炉、汽轮机电气设备的检修工</w:t>
            </w:r>
          </w:p>
          <w:p w14:paraId="3B13A292">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default"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环保设备的运行与维护</w:t>
            </w:r>
          </w:p>
        </w:tc>
        <w:tc>
          <w:tcPr>
            <w:tcW w:w="2033" w:type="dxa"/>
            <w:vMerge w:val="restart"/>
            <w:vAlign w:val="center"/>
          </w:tcPr>
          <w:p w14:paraId="32F21879">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eastAsia"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计算机绘图员</w:t>
            </w:r>
          </w:p>
          <w:p w14:paraId="5880B6D7">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eastAsia"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维修电工</w:t>
            </w:r>
          </w:p>
          <w:p w14:paraId="39712517">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eastAsia"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装配钳工</w:t>
            </w:r>
          </w:p>
          <w:p w14:paraId="0B6D1265">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default"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汽轮机本体设备检修工</w:t>
            </w:r>
          </w:p>
        </w:tc>
        <w:tc>
          <w:tcPr>
            <w:tcW w:w="1515" w:type="dxa"/>
            <w:vMerge w:val="restart"/>
            <w:vAlign w:val="center"/>
          </w:tcPr>
          <w:p w14:paraId="29D08F15">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eastAsia"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高职：</w:t>
            </w:r>
          </w:p>
          <w:p w14:paraId="34C26420">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eastAsia"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机电一体化技术</w:t>
            </w:r>
          </w:p>
          <w:p w14:paraId="6353ACE4">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eastAsia"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机电设备维修与管理</w:t>
            </w:r>
          </w:p>
          <w:p w14:paraId="6B828A3D">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eastAsia" w:ascii="仿宋_GB2312" w:hAnsi="仿宋_GB2312" w:eastAsia="仿宋_GB2312" w:cs="仿宋_GB2312"/>
                <w:b w:val="0"/>
                <w:bCs w:val="0"/>
                <w:spacing w:val="0"/>
                <w:kern w:val="56"/>
                <w:sz w:val="21"/>
                <w:szCs w:val="21"/>
                <w:lang w:val="en-US" w:eastAsia="zh-CN"/>
              </w:rPr>
            </w:pPr>
          </w:p>
        </w:tc>
        <w:tc>
          <w:tcPr>
            <w:tcW w:w="1478" w:type="dxa"/>
            <w:vMerge w:val="restart"/>
            <w:vAlign w:val="center"/>
          </w:tcPr>
          <w:p w14:paraId="0D7DD86E">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eastAsia"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本科：</w:t>
            </w:r>
          </w:p>
          <w:p w14:paraId="5170ADC8">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eastAsia"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机械设计制造及其自动化</w:t>
            </w:r>
          </w:p>
          <w:p w14:paraId="799B67C0">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eastAsia" w:ascii="仿宋_GB2312" w:hAnsi="仿宋_GB2312" w:eastAsia="仿宋_GB2312" w:cs="仿宋_GB2312"/>
                <w:b w:val="0"/>
                <w:bCs w:val="0"/>
                <w:spacing w:val="0"/>
                <w:kern w:val="56"/>
                <w:sz w:val="21"/>
                <w:szCs w:val="21"/>
                <w:lang w:val="en-US" w:eastAsia="zh-CN"/>
              </w:rPr>
            </w:pPr>
            <w:r>
              <w:rPr>
                <w:rFonts w:hint="eastAsia" w:ascii="仿宋_GB2312" w:hAnsi="仿宋_GB2312" w:eastAsia="仿宋_GB2312" w:cs="仿宋_GB2312"/>
                <w:b w:val="0"/>
                <w:bCs w:val="0"/>
                <w:spacing w:val="0"/>
                <w:kern w:val="56"/>
                <w:sz w:val="21"/>
                <w:szCs w:val="21"/>
                <w:lang w:val="en-US" w:eastAsia="zh-CN"/>
              </w:rPr>
              <w:t>电气工程及其自动化</w:t>
            </w:r>
          </w:p>
        </w:tc>
      </w:tr>
      <w:tr w14:paraId="7CDD54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jc w:val="center"/>
        </w:trPr>
        <w:tc>
          <w:tcPr>
            <w:tcW w:w="1607" w:type="dxa"/>
            <w:vAlign w:val="center"/>
          </w:tcPr>
          <w:p w14:paraId="7CDBA6E5">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420" w:firstLineChars="200"/>
              <w:jc w:val="center"/>
              <w:textAlignment w:val="auto"/>
              <w:rPr>
                <w:rFonts w:hint="eastAsia" w:ascii="仿宋_GB2312" w:hAnsi="仿宋_GB2312" w:eastAsia="仿宋_GB2312" w:cs="仿宋_GB2312"/>
                <w:b w:val="0"/>
                <w:bCs w:val="0"/>
                <w:spacing w:val="0"/>
                <w:kern w:val="56"/>
                <w:sz w:val="21"/>
                <w:szCs w:val="21"/>
                <w:lang w:eastAsia="zh-CN"/>
              </w:rPr>
            </w:pPr>
            <w:r>
              <w:rPr>
                <w:rFonts w:hint="eastAsia" w:ascii="仿宋_GB2312" w:hAnsi="仿宋_GB2312" w:eastAsia="仿宋_GB2312" w:cs="仿宋_GB2312"/>
                <w:b w:val="0"/>
                <w:bCs w:val="0"/>
                <w:spacing w:val="0"/>
                <w:kern w:val="56"/>
                <w:sz w:val="21"/>
                <w:szCs w:val="21"/>
                <w:lang w:val="en-US" w:eastAsia="zh-CN"/>
              </w:rPr>
              <w:t>设备维修</w:t>
            </w:r>
          </w:p>
        </w:tc>
        <w:tc>
          <w:tcPr>
            <w:tcW w:w="2160" w:type="dxa"/>
            <w:vMerge w:val="continue"/>
            <w:tcBorders>
              <w:top w:val="nil"/>
            </w:tcBorders>
            <w:vAlign w:val="center"/>
          </w:tcPr>
          <w:p w14:paraId="77E8C344">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ascii="仿宋_GB2312" w:hAnsi="仿宋_GB2312" w:eastAsia="仿宋_GB2312" w:cs="仿宋_GB2312"/>
                <w:b w:val="0"/>
                <w:bCs w:val="0"/>
                <w:spacing w:val="0"/>
                <w:kern w:val="56"/>
                <w:sz w:val="21"/>
                <w:szCs w:val="21"/>
              </w:rPr>
            </w:pPr>
          </w:p>
        </w:tc>
        <w:tc>
          <w:tcPr>
            <w:tcW w:w="2033" w:type="dxa"/>
            <w:vMerge w:val="continue"/>
            <w:tcBorders>
              <w:top w:val="nil"/>
            </w:tcBorders>
            <w:vAlign w:val="center"/>
          </w:tcPr>
          <w:p w14:paraId="2D3BD1D1">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ascii="仿宋_GB2312" w:hAnsi="仿宋_GB2312" w:eastAsia="仿宋_GB2312" w:cs="仿宋_GB2312"/>
                <w:b w:val="0"/>
                <w:bCs w:val="0"/>
                <w:spacing w:val="0"/>
                <w:kern w:val="56"/>
                <w:sz w:val="21"/>
                <w:szCs w:val="21"/>
              </w:rPr>
            </w:pPr>
          </w:p>
        </w:tc>
        <w:tc>
          <w:tcPr>
            <w:tcW w:w="1515" w:type="dxa"/>
            <w:vMerge w:val="continue"/>
            <w:tcBorders>
              <w:top w:val="nil"/>
            </w:tcBorders>
            <w:vAlign w:val="center"/>
          </w:tcPr>
          <w:p w14:paraId="37B490E0">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ascii="仿宋_GB2312" w:hAnsi="仿宋_GB2312" w:eastAsia="仿宋_GB2312" w:cs="仿宋_GB2312"/>
                <w:b w:val="0"/>
                <w:bCs w:val="0"/>
                <w:spacing w:val="0"/>
                <w:kern w:val="56"/>
                <w:sz w:val="21"/>
                <w:szCs w:val="21"/>
              </w:rPr>
            </w:pPr>
          </w:p>
        </w:tc>
        <w:tc>
          <w:tcPr>
            <w:tcW w:w="1478" w:type="dxa"/>
            <w:vMerge w:val="continue"/>
            <w:tcBorders>
              <w:top w:val="nil"/>
            </w:tcBorders>
            <w:vAlign w:val="center"/>
          </w:tcPr>
          <w:p w14:paraId="3AD46FA1">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ascii="仿宋_GB2312" w:hAnsi="仿宋_GB2312" w:eastAsia="仿宋_GB2312" w:cs="仿宋_GB2312"/>
                <w:b w:val="0"/>
                <w:bCs w:val="0"/>
                <w:spacing w:val="0"/>
                <w:kern w:val="56"/>
                <w:sz w:val="21"/>
                <w:szCs w:val="21"/>
              </w:rPr>
            </w:pPr>
          </w:p>
        </w:tc>
      </w:tr>
      <w:tr w14:paraId="5F96C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jc w:val="center"/>
        </w:trPr>
        <w:tc>
          <w:tcPr>
            <w:tcW w:w="1607" w:type="dxa"/>
            <w:vAlign w:val="center"/>
          </w:tcPr>
          <w:p w14:paraId="7FE49DC2">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hint="eastAsia" w:ascii="仿宋_GB2312" w:hAnsi="仿宋_GB2312" w:eastAsia="仿宋_GB2312" w:cs="仿宋_GB2312"/>
                <w:b w:val="0"/>
                <w:bCs w:val="0"/>
                <w:spacing w:val="0"/>
                <w:kern w:val="56"/>
                <w:sz w:val="21"/>
                <w:szCs w:val="21"/>
                <w:lang w:eastAsia="zh-CN"/>
              </w:rPr>
            </w:pPr>
            <w:r>
              <w:rPr>
                <w:rFonts w:hint="eastAsia" w:ascii="仿宋_GB2312" w:hAnsi="仿宋_GB2312" w:eastAsia="仿宋_GB2312" w:cs="仿宋_GB2312"/>
                <w:b w:val="0"/>
                <w:bCs w:val="0"/>
                <w:spacing w:val="0"/>
                <w:kern w:val="56"/>
                <w:sz w:val="21"/>
                <w:szCs w:val="21"/>
                <w:lang w:val="en-US" w:eastAsia="zh-CN"/>
              </w:rPr>
              <w:t>节能环保</w:t>
            </w:r>
          </w:p>
        </w:tc>
        <w:tc>
          <w:tcPr>
            <w:tcW w:w="2160" w:type="dxa"/>
            <w:vMerge w:val="continue"/>
            <w:tcBorders>
              <w:top w:val="nil"/>
            </w:tcBorders>
            <w:vAlign w:val="center"/>
          </w:tcPr>
          <w:p w14:paraId="4B70CA7C">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ascii="仿宋_GB2312" w:hAnsi="仿宋_GB2312" w:eastAsia="仿宋_GB2312" w:cs="仿宋_GB2312"/>
                <w:b w:val="0"/>
                <w:bCs w:val="0"/>
                <w:spacing w:val="0"/>
                <w:kern w:val="56"/>
                <w:sz w:val="21"/>
                <w:szCs w:val="21"/>
              </w:rPr>
            </w:pPr>
          </w:p>
        </w:tc>
        <w:tc>
          <w:tcPr>
            <w:tcW w:w="2033" w:type="dxa"/>
            <w:vMerge w:val="continue"/>
            <w:tcBorders>
              <w:top w:val="nil"/>
            </w:tcBorders>
            <w:vAlign w:val="center"/>
          </w:tcPr>
          <w:p w14:paraId="290A6AE9">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ascii="仿宋_GB2312" w:hAnsi="仿宋_GB2312" w:eastAsia="仿宋_GB2312" w:cs="仿宋_GB2312"/>
                <w:b w:val="0"/>
                <w:bCs w:val="0"/>
                <w:spacing w:val="0"/>
                <w:kern w:val="56"/>
                <w:sz w:val="21"/>
                <w:szCs w:val="21"/>
              </w:rPr>
            </w:pPr>
          </w:p>
        </w:tc>
        <w:tc>
          <w:tcPr>
            <w:tcW w:w="1515" w:type="dxa"/>
            <w:vMerge w:val="continue"/>
            <w:tcBorders>
              <w:top w:val="nil"/>
            </w:tcBorders>
            <w:vAlign w:val="center"/>
          </w:tcPr>
          <w:p w14:paraId="4D964F18">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ascii="仿宋_GB2312" w:hAnsi="仿宋_GB2312" w:eastAsia="仿宋_GB2312" w:cs="仿宋_GB2312"/>
                <w:b w:val="0"/>
                <w:bCs w:val="0"/>
                <w:spacing w:val="0"/>
                <w:kern w:val="56"/>
                <w:sz w:val="21"/>
                <w:szCs w:val="21"/>
              </w:rPr>
            </w:pPr>
          </w:p>
        </w:tc>
        <w:tc>
          <w:tcPr>
            <w:tcW w:w="1478" w:type="dxa"/>
            <w:vMerge w:val="continue"/>
            <w:tcBorders>
              <w:top w:val="nil"/>
            </w:tcBorders>
            <w:vAlign w:val="center"/>
          </w:tcPr>
          <w:p w14:paraId="4F9E81D6">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420" w:firstLineChars="200"/>
              <w:jc w:val="center"/>
              <w:textAlignment w:val="auto"/>
              <w:rPr>
                <w:rFonts w:ascii="仿宋_GB2312" w:hAnsi="仿宋_GB2312" w:eastAsia="仿宋_GB2312" w:cs="仿宋_GB2312"/>
                <w:b w:val="0"/>
                <w:bCs w:val="0"/>
                <w:spacing w:val="0"/>
                <w:kern w:val="56"/>
                <w:sz w:val="21"/>
                <w:szCs w:val="21"/>
              </w:rPr>
            </w:pPr>
          </w:p>
        </w:tc>
      </w:tr>
    </w:tbl>
    <w:p w14:paraId="2E7372EF">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黑体" w:hAnsi="黑体" w:eastAsia="黑体" w:cs="黑体"/>
          <w:b w:val="0"/>
          <w:bCs w:val="0"/>
          <w:spacing w:val="0"/>
          <w:kern w:val="56"/>
          <w:sz w:val="32"/>
          <w:szCs w:val="32"/>
          <w:lang w:val="en-US" w:eastAsia="zh-CN"/>
        </w:rPr>
      </w:pPr>
      <w:bookmarkStart w:id="6" w:name="_bookmark4"/>
      <w:bookmarkEnd w:id="6"/>
      <w:r>
        <w:rPr>
          <w:rFonts w:hint="eastAsia" w:ascii="黑体" w:hAnsi="黑体" w:eastAsia="黑体" w:cs="黑体"/>
          <w:b w:val="0"/>
          <w:bCs w:val="0"/>
          <w:spacing w:val="0"/>
          <w:kern w:val="56"/>
          <w:sz w:val="32"/>
          <w:szCs w:val="32"/>
          <w:lang w:val="en-US" w:eastAsia="zh-CN"/>
        </w:rPr>
        <w:t>五、培养规格与素养</w:t>
      </w:r>
    </w:p>
    <w:p w14:paraId="2B074A80">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楷体" w:hAnsi="楷体" w:eastAsia="楷体" w:cs="楷体"/>
          <w:b w:val="0"/>
          <w:bCs w:val="0"/>
          <w:spacing w:val="0"/>
          <w:kern w:val="56"/>
          <w:sz w:val="32"/>
          <w:szCs w:val="32"/>
        </w:rPr>
      </w:pPr>
      <w:bookmarkStart w:id="7" w:name="_bookmark6"/>
      <w:bookmarkEnd w:id="7"/>
      <w:bookmarkStart w:id="8" w:name="_bookmark5"/>
      <w:bookmarkEnd w:id="8"/>
      <w:r>
        <w:rPr>
          <w:rFonts w:hint="eastAsia" w:ascii="楷体" w:hAnsi="楷体" w:eastAsia="楷体" w:cs="楷体"/>
          <w:b w:val="0"/>
          <w:bCs w:val="0"/>
          <w:spacing w:val="0"/>
          <w:kern w:val="56"/>
          <w:sz w:val="32"/>
          <w:szCs w:val="32"/>
        </w:rPr>
        <w:t>（一）综合素养</w:t>
      </w:r>
    </w:p>
    <w:p w14:paraId="30A5B0CA">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1.具有正确的世界观、人生观、价值观。拥护中国共产党领导，践行社会主义核心价值观，具有爱国情怀，国家认同感，中华民族自豪感，遵守法律，遵规守纪，具有社会责任感和参与意识。</w:t>
      </w:r>
    </w:p>
    <w:p w14:paraId="00A65316">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2.具有良好的道德品质、职业素养、竞争和发展意识。遵守履行道德准则和行为规范；尊重劳动、热爱劳动；崇德向善、诚实守信、爱岗敬业，具有精益求精的工匠精神。</w:t>
      </w:r>
    </w:p>
    <w:p w14:paraId="62608662">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3.具有健康的身体和心理。达到《国家学生体质健康标准》要求，具有健康的体魄和心理、健全的人格；具有一定的审美和人文素养。</w:t>
      </w:r>
    </w:p>
    <w:p w14:paraId="098B0D6F">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4.具有良好的责任心、进取心和坚强的意志。具有良好的职业形象和服务意识；具有从事工业机器人相关职业的应具备的其它职业素要求。</w:t>
      </w:r>
    </w:p>
    <w:p w14:paraId="6EED35F0">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5.具有良好的人际交往、团队协作能力。具有良好的书面表达和口头表达能力。具有质量意识、绿色环保意识、安全意识、职业生涯规划意识等。</w:t>
      </w:r>
    </w:p>
    <w:p w14:paraId="3E8F1850">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6.具有良好的人文素养和继续学习能力。掌握一定的学习方法，具有良好的生活习惯、行为习惯和自我管理能力。具有创新创业意识和能力。</w:t>
      </w:r>
    </w:p>
    <w:p w14:paraId="6A5D7A00">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7.具有运用计算机进行技术交流和信息处理的能力。具有借助工具查阅中、英文技术资料的基础能力。</w:t>
      </w:r>
    </w:p>
    <w:p w14:paraId="2A1E0831">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楷体" w:hAnsi="楷体" w:eastAsia="楷体" w:cs="楷体"/>
          <w:b w:val="0"/>
          <w:bCs w:val="0"/>
          <w:spacing w:val="0"/>
          <w:kern w:val="56"/>
          <w:sz w:val="32"/>
          <w:szCs w:val="32"/>
        </w:rPr>
      </w:pPr>
      <w:r>
        <w:rPr>
          <w:rFonts w:hint="eastAsia" w:ascii="楷体" w:hAnsi="楷体" w:eastAsia="楷体" w:cs="楷体"/>
          <w:b w:val="0"/>
          <w:bCs w:val="0"/>
          <w:spacing w:val="0"/>
          <w:kern w:val="56"/>
          <w:sz w:val="32"/>
          <w:szCs w:val="32"/>
        </w:rPr>
        <w:t>（二）专业知识</w:t>
      </w:r>
    </w:p>
    <w:p w14:paraId="33948C4E">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1.掌握中等职业教育阶段必需的文化基础知识。</w:t>
      </w:r>
    </w:p>
    <w:p w14:paraId="210341EF">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2.掌握必要的人文科学知识、社会科学知识。</w:t>
      </w:r>
    </w:p>
    <w:p w14:paraId="2222B79F">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3.掌握一定水平的计算机基础知识。</w:t>
      </w:r>
    </w:p>
    <w:p w14:paraId="553C3018">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4.掌握机械基础、工程识图、电工基础的基本专业理论知识。</w:t>
      </w:r>
    </w:p>
    <w:p w14:paraId="6F8A0B1F">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5.掌握火电厂热力系统的控制理论知识。</w:t>
      </w:r>
    </w:p>
    <w:p w14:paraId="36A897B2">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6.掌握热力设备运行操作、调整试验、常见故障的分析处理；</w:t>
      </w:r>
    </w:p>
    <w:p w14:paraId="20D45B03">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楷体" w:hAnsi="楷体" w:eastAsia="楷体" w:cs="楷体"/>
          <w:b w:val="0"/>
          <w:bCs w:val="0"/>
          <w:spacing w:val="0"/>
          <w:kern w:val="56"/>
          <w:sz w:val="32"/>
          <w:szCs w:val="32"/>
        </w:rPr>
      </w:pPr>
      <w:r>
        <w:rPr>
          <w:rFonts w:hint="eastAsia" w:ascii="楷体" w:hAnsi="楷体" w:eastAsia="楷体" w:cs="楷体"/>
          <w:b w:val="0"/>
          <w:bCs w:val="0"/>
          <w:spacing w:val="0"/>
          <w:kern w:val="56"/>
          <w:sz w:val="32"/>
          <w:szCs w:val="32"/>
        </w:rPr>
        <w:t>（三）职业能力</w:t>
      </w:r>
    </w:p>
    <w:p w14:paraId="1A8AA10D">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1.行业通用能力：</w:t>
      </w:r>
    </w:p>
    <w:p w14:paraId="70098EEF">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（1）识读图样能力：具有识读中等复杂机械零件图、装配图，电气原理图、接线图的能力；具有应用计算机绘图软件抄画机械和电气图样的能力。</w:t>
      </w:r>
    </w:p>
    <w:p w14:paraId="114D5896">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（2）工量具及仪表选用能力：具有常用机械加工工具、量具、刀具选用的能力；具有常用电工、电子仪表选用的能力。</w:t>
      </w:r>
    </w:p>
    <w:p w14:paraId="39F6A4FE">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（3）材料及元器件选用能力：具有常用金属材料与热处理的选用能力；具有识别和选用导线、低压电器及常用电工电子元件的能力。</w:t>
      </w:r>
    </w:p>
    <w:p w14:paraId="74AB73A1">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2.职业特定能力：</w:t>
      </w:r>
    </w:p>
    <w:p w14:paraId="6941DC44">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1）热力设备的使用能力：具有绘制简单热力系统图、简单零件图的能力；具有正确使用热力设备运行与检修常用工器具的能力；具有钳工操作能力，拆装起吊设备、焊接设备等基本技能；具有初步判断设备缺陷的能力。</w:t>
      </w:r>
    </w:p>
    <w:p w14:paraId="16F94DAA">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（2）热力设备安装与调试:具有典型热力设备整机调试的能力（中级）； 具有热力设备机械修复或电气故障排除的能力（中级）。</w:t>
      </w:r>
    </w:p>
    <w:p w14:paraId="162467C1">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3.跨行业职业能力：</w:t>
      </w:r>
    </w:p>
    <w:p w14:paraId="3CDC6897">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（1）具有适应岗位变化的能力。</w:t>
      </w:r>
    </w:p>
    <w:p w14:paraId="1A20D436">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（2）具有企业管理及生产现场管理的基础能力。</w:t>
      </w:r>
    </w:p>
    <w:p w14:paraId="19783C95">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（3）具有创新和创业的基础能力。</w:t>
      </w:r>
    </w:p>
    <w:p w14:paraId="4D0EEB53">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黑体" w:hAnsi="黑体" w:eastAsia="黑体" w:cs="黑体"/>
          <w:b w:val="0"/>
          <w:bCs w:val="0"/>
          <w:spacing w:val="0"/>
          <w:kern w:val="56"/>
          <w:sz w:val="32"/>
          <w:szCs w:val="32"/>
        </w:rPr>
      </w:pPr>
      <w:bookmarkStart w:id="9" w:name="_bookmark7"/>
      <w:bookmarkEnd w:id="9"/>
      <w:r>
        <w:rPr>
          <w:rFonts w:hint="eastAsia" w:ascii="黑体" w:hAnsi="黑体" w:eastAsia="黑体" w:cs="黑体"/>
          <w:b w:val="0"/>
          <w:bCs w:val="0"/>
          <w:spacing w:val="0"/>
          <w:kern w:val="56"/>
          <w:sz w:val="32"/>
          <w:szCs w:val="32"/>
        </w:rPr>
        <w:t>六、课程结构及设置</w:t>
      </w:r>
    </w:p>
    <w:p w14:paraId="295E9D6E">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outlineLvl w:val="1"/>
        <w:rPr>
          <w:rFonts w:hint="eastAsia" w:ascii="楷体" w:eastAsia="楷体"/>
          <w:b w:val="0"/>
          <w:bCs w:val="0"/>
          <w:color w:val="auto"/>
          <w:spacing w:val="0"/>
          <w:w w:val="100"/>
          <w:kern w:val="2"/>
          <w:sz w:val="32"/>
          <w:szCs w:val="32"/>
        </w:rPr>
      </w:pPr>
      <w:bookmarkStart w:id="10" w:name="_Toc18542"/>
      <w:bookmarkStart w:id="11" w:name="_Toc9748"/>
      <w:bookmarkStart w:id="12" w:name="_Toc27369"/>
      <w:r>
        <w:rPr>
          <w:rFonts w:hint="eastAsia" w:ascii="楷体" w:eastAsia="楷体"/>
          <w:b w:val="0"/>
          <w:bCs w:val="0"/>
          <w:color w:val="auto"/>
          <w:spacing w:val="0"/>
          <w:w w:val="100"/>
          <w:kern w:val="2"/>
          <w:sz w:val="32"/>
          <w:szCs w:val="32"/>
          <w:lang w:val="en-US" w:eastAsia="zh-CN"/>
        </w:rPr>
        <w:t>(一）</w:t>
      </w:r>
      <w:r>
        <w:rPr>
          <w:rFonts w:hint="eastAsia" w:ascii="楷体" w:eastAsia="楷体"/>
          <w:b w:val="0"/>
          <w:bCs w:val="0"/>
          <w:color w:val="auto"/>
          <w:spacing w:val="0"/>
          <w:w w:val="100"/>
          <w:kern w:val="2"/>
          <w:sz w:val="32"/>
          <w:szCs w:val="32"/>
        </w:rPr>
        <w:t>公共基础课程</w:t>
      </w:r>
      <w:bookmarkEnd w:id="10"/>
      <w:bookmarkEnd w:id="11"/>
      <w:bookmarkEnd w:id="12"/>
    </w:p>
    <w:p w14:paraId="541360FE">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1.中国特色社会主义（36学时 2学分）</w:t>
      </w:r>
    </w:p>
    <w:p w14:paraId="1506A3F4">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该课程以习近平新时代中国特色社会主义思想为指导，阐释中国特色社会主义的开创与发展，明确中国特色社会主义进入新时代的历史方位， 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p w14:paraId="175D7B36">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2.心理健康与职业生涯（36学时 2学分）</w:t>
      </w:r>
    </w:p>
    <w:p w14:paraId="23333370">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该课程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p w14:paraId="1B287914">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3.哲学与人生（36学时 2学分）</w:t>
      </w:r>
    </w:p>
    <w:p w14:paraId="11C398FA">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该课程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p w14:paraId="7C2912D6">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4.职业道德与法治（36学时 2学分）</w:t>
      </w:r>
    </w:p>
    <w:p w14:paraId="0D459FEF">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该课程着眼于提高中职学生的职业道德素质和法治素养，对学生进行职业道德和法治教育。帮助学生理解全面依法治国的总目标和基本要求，了解职业道德和法律规范，增强职业道德和法治意识，养成爱岗敬业、依法办事的思维方式和行为习惯。</w:t>
      </w:r>
    </w:p>
    <w:p w14:paraId="2F86F271">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5.语文（144学时 8学分）</w:t>
      </w:r>
    </w:p>
    <w:p w14:paraId="3FFA009B">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本课程是健康保健专业必修的一门文化基础课程，要在九年义务教育的基础上，培养学生热爱祖国语言文字及文化的思想感情，使学生进一步提高正确理解与运用祖国语言文字的能力，提高科学文化素养，以适应就业和创业的需要。指导学生学习必需的语文基础知识，掌握日常生活和护理职业岗位需要的现代文阅读能力、日常生活和护理文书写作能力、口语交际能力，具有初步的文学作品欣赏能力和浅易国学经典文言文和医古文的阅读能力。指导学生掌握基本的语文学习方法，养成自学和运用语文的良好习惯。引导学生重视语言的积累和感悟，接受优秀文化的熏陶，提高思想品德修养和审美情趣，形成良好的个性、健全的人格，促进护理职业生涯的发展。</w:t>
      </w:r>
    </w:p>
    <w:p w14:paraId="709EEF40">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6.数学（144学时 8学分 ）</w:t>
      </w:r>
    </w:p>
    <w:p w14:paraId="36272940">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主要内容包括集合、不等式、函数、矩阵、立体几何等，通过学习，使学生掌握必要的基础知识、基本理论和基本技能及常用的计算方法，为学生学习后续课程和进一步获得近代科学技术知识奠定基础。</w:t>
      </w:r>
    </w:p>
    <w:p w14:paraId="294C38E3">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7.英语（144学时 8学分）</w:t>
      </w:r>
    </w:p>
    <w:p w14:paraId="5AD19A29">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本课程的主要内容包括英语语言知识与应用技能、学习策略和跨文化交际。其目的是帮助学生打下扎实的语言基础，培养听、说、读、写、译的能力，建立综合应用英语的实际能力。通过本课程的学习，使学生掌握基本的英语应用能力。能听懂英语授课，能听懂日常英语谈话和一般性题材的讲座，能听懂语速较慢的英语广播和电视节目，能掌握其中心大意，抓住要点；能在学习过程中用英语交流，并能就某一主题进行讨论，能就日常话题用英语进行交谈，表达比较清楚，语音、语调基本正确。</w:t>
      </w:r>
    </w:p>
    <w:p w14:paraId="046678F1">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8.信息技术（108学时 6学分）</w:t>
      </w:r>
    </w:p>
    <w:p w14:paraId="47A3543B">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主要内容包括计算机的基础知识，常用操作系统、文字处理软件、电子表格的使用，数据库。通过本课程的学习使学生掌握计算机操作的基本技能，具有文字处理能力，数据处理能力，信息获取、整理、加工能力，为学生以后的学习和工作打下基础。</w:t>
      </w:r>
    </w:p>
    <w:p w14:paraId="1C529C82">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9.体育与健康（144学时 8学分）</w:t>
      </w:r>
    </w:p>
    <w:p w14:paraId="511A170F">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主要内容包括体育与健康的基本原理、基本技术和基本技能以及形体训练的内容。通过本课程的学习，使学生掌握科学锻炼和娱乐休闲的基本方法，养成自觉锻炼的习惯，培养学生自主锻炼、自我保健、自我评价和自我调控的意识，全面提高学生身心素质和社会适应能力，为学生终身锻炼、继续学习与创业立业奠定基础。学生除参加体育课外，还参加每天的早操、课间操和课外活动。</w:t>
      </w:r>
    </w:p>
    <w:p w14:paraId="5F3D742F">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10.历史（72学时 4学分）</w:t>
      </w:r>
    </w:p>
    <w:p w14:paraId="7AE867B1">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本课程的任务是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p w14:paraId="00905B3B">
      <w:pPr>
        <w:numPr>
          <w:ilvl w:val="0"/>
          <w:numId w:val="0"/>
        </w:numPr>
        <w:ind w:left="640" w:leftChars="0"/>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11.美术（144学时 8学分）</w:t>
      </w:r>
    </w:p>
    <w:p w14:paraId="3D54290A">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在个人成长方面，它是培养审美能力的摇篮，引导我们从艺术作品中汲取美的养分，提升对美的感知与鉴赏力，使生活充满诗意。同时，它是激发创造力与想象力的魔法棒，在无拘无束的创作中，让我们突破思维定式，迸发创新灵感。在文化领域，美术课程是文化传承与交流的桥梁，通过古今中外的艺术作品，我们得以领略先辈的智慧与不同地域的风情，增强文化自信与包容。从社会层面看，它为各行各业输送具备创新思维与美学素养的人才，推动着设计、影视、建筑等众多领域的蓬勃发展，为社会的进步注入源源不断的活力。</w:t>
      </w:r>
    </w:p>
    <w:p w14:paraId="264577A5">
      <w:pPr>
        <w:numPr>
          <w:ilvl w:val="0"/>
          <w:numId w:val="1"/>
        </w:numPr>
        <w:ind w:left="640" w:leftChars="0" w:firstLine="0" w:firstLineChars="0"/>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安全（90学时 5学分）</w:t>
      </w:r>
    </w:p>
    <w:p w14:paraId="70707A22">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default"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安全课程内容丰富多样，涵盖火灾逃生、地震避险、溺水急救等应对突发危险的技能，以及对日常生活潜在风险的识别，如交通安全隐患、居家用电安全等，还包括饮食安全、心理健康等关乎健康生活的知识，特定行业的安全规范也在其范畴内。其不仅能在关键时刻保障生命安全，让人们在危险来临时迅速做出正确反应，降低伤害；还能培养风险意识，提前预防危险发生；同时促进健康生活，引导人们养成良好生活习惯。</w:t>
      </w:r>
    </w:p>
    <w:p w14:paraId="1414B9F4">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13.劳动教育（18学时 1学分）</w:t>
      </w:r>
    </w:p>
    <w:p w14:paraId="6F08278C">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bCs w:val="0"/>
          <w:spacing w:val="0"/>
          <w:kern w:val="56"/>
          <w:sz w:val="32"/>
          <w:szCs w:val="32"/>
          <w:lang w:val="en-US" w:eastAsia="zh-CN"/>
        </w:rPr>
      </w:pPr>
      <w:r>
        <w:rPr>
          <w:rFonts w:hint="eastAsia" w:ascii="仿宋_GB2312" w:hAnsi="仿宋_GB2312" w:eastAsia="仿宋_GB2312" w:cs="仿宋_GB2312"/>
          <w:b w:val="0"/>
          <w:bCs w:val="0"/>
          <w:spacing w:val="0"/>
          <w:kern w:val="56"/>
          <w:sz w:val="32"/>
          <w:szCs w:val="32"/>
          <w:lang w:val="en-US" w:eastAsia="zh-CN"/>
        </w:rPr>
        <w:t>通过本课程的学习帮助学生把握劳动教育的基本内涵，形成劳动最光荣、劳动最崇高、劳动最伟大、劳动最美丽的观念意识，在劳动中掌握生活技能、职业技能和社会技能，培养劳模精神、劳动精神和工匠精神，培育遵纪守法、诚实守信等优良品质，做有职业理想、有本领、勇于担当的新时代劳动者。</w:t>
      </w:r>
    </w:p>
    <w:p w14:paraId="246D14C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楷体" w:hAnsi="楷体" w:eastAsia="楷体" w:cs="楷体"/>
          <w:color w:val="auto"/>
          <w:kern w:val="2"/>
          <w:sz w:val="32"/>
          <w:szCs w:val="32"/>
          <w:lang w:val="en-US" w:eastAsia="zh-CN"/>
        </w:rPr>
      </w:pPr>
      <w:bookmarkStart w:id="13" w:name="_Toc8219"/>
      <w:bookmarkStart w:id="14" w:name="_Toc27090"/>
      <w:bookmarkStart w:id="15" w:name="_Toc20741"/>
      <w:bookmarkStart w:id="16" w:name="_Toc16724"/>
      <w:bookmarkStart w:id="17" w:name="_Toc2543"/>
      <w:r>
        <w:rPr>
          <w:rFonts w:hint="eastAsia" w:ascii="楷体" w:hAnsi="楷体" w:eastAsia="楷体" w:cs="楷体"/>
          <w:color w:val="auto"/>
          <w:kern w:val="2"/>
          <w:sz w:val="32"/>
          <w:szCs w:val="32"/>
          <w:lang w:val="en-US" w:eastAsia="zh-CN"/>
        </w:rPr>
        <w:t>（二）专业（技能）课程</w:t>
      </w:r>
      <w:bookmarkEnd w:id="13"/>
      <w:bookmarkEnd w:id="14"/>
      <w:bookmarkEnd w:id="15"/>
      <w:bookmarkEnd w:id="16"/>
      <w:bookmarkEnd w:id="17"/>
    </w:p>
    <w:p w14:paraId="051356C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1.机械制图（108学时 6学分）</w:t>
      </w:r>
    </w:p>
    <w:p w14:paraId="00385CD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机械制图致力于用精准图样呈现机械各方面信息。它深入研究投影理论，借正投影及其他投影法，搭建起三维到二维的转换通道，使机械轮廓清晰呈现。在图样画法上，规定视图、剖视图、断面图等，全方位定格机械细节，不管是展现外观的基本视图，还是剖析内部的剖视图等，都各尽其用。尺寸标注作为关键环节，严格依循国标，规范尺寸线、界线与数字，保障零件加工合理无误。公差与配合掌控零件公差，为批量生产、精准装配护航，是机械制造的精密 “导航”，引领从设计到成品的每一步。</w:t>
      </w:r>
    </w:p>
    <w:p w14:paraId="00CAE7A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2.机械基础（144学时8学分）</w:t>
      </w:r>
    </w:p>
    <w:p w14:paraId="0CD0F09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机械基础内容涵盖机械传动、常用机构、轴系零件等方面。在机械传动中，带传动利用摩擦力或啮合传递动力，像小型收割机用 V 带缓冲吸振、过载保护，同步带保证传动比；链传动由链轮与链条组成，如自行车靠它恶劣环境下远距离传力且传动精准；齿轮传动应用广泛，圆柱、圆锥、蜗轮蜗杆等不同类型各有优势。常用机构里，平面连杆机构以四杆机构为主，缝纫机踏板、火车车轮联动、港口起重机变幅分别用其不同形式；凸轮机构由凸轮、从动件和机架构成，自动机床进刀机构借此实现复杂运动规律，却易磨损。轴系零件中，轴起支承旋转件、传递转矩作用，分转轴、心轴、传动轴，依承载情况不同而功能各异。</w:t>
      </w:r>
    </w:p>
    <w:p w14:paraId="23A8DDA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3.电工基础（108学时 6学分）</w:t>
      </w:r>
    </w:p>
    <w:p w14:paraId="7D959EA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电工基础从电路基础入手，先明晰电流、电压、电动势、电阻等基本概念，知晓它们如同水流、水压、驱动力、阻碍般在电路里发挥作用，再以欧姆定律、基尔霍夫定律为工具剖析电路，前者阐述电流、电压、电阻关联，后者助解复杂电路的电流、电压分布。直流电路着重研究直流电源供电情形，串联、并联、混联电路各具特性，像汽车照明电路多采用并联，保障各车灯正常运作。交流电路围绕交流电展开，其大小和方向随时间周期性变化，后续还涉及更多相关知识，共同为掌握电工电子技术筑牢根基。</w:t>
      </w:r>
    </w:p>
    <w:p w14:paraId="754E894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left"/>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4.电气设备与运行（144学时 8学分）</w:t>
      </w:r>
    </w:p>
    <w:p w14:paraId="3F98ED9F">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left"/>
        <w:textAlignment w:val="auto"/>
        <w:rPr>
          <w:rFonts w:hint="default"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电气设备与运行</w:t>
      </w:r>
      <w:r>
        <w:rPr>
          <w:rFonts w:hint="default" w:ascii="仿宋_GB2312" w:hAnsi="仿宋_GB2312" w:eastAsia="仿宋_GB2312" w:cs="仿宋_GB2312"/>
          <w:b w:val="0"/>
          <w:bCs w:val="0"/>
          <w:spacing w:val="0"/>
          <w:kern w:val="56"/>
          <w:sz w:val="32"/>
          <w:szCs w:val="32"/>
          <w:lang w:val="en-US" w:eastAsia="zh-CN" w:bidi="zh-CN"/>
        </w:rPr>
        <w:t>从认识和运用基本电气元件起步，接触器靠电磁力控制触头开合，频繁操控交、直流主电路，常用来启停电动机；各类继电器各司其职，时间继电器精准延迟触头动作助力自动化生产线顺序控制，热继电器为电动机过载护航。其核心在于电气控制线路设计，从满足临时调试的单向点动控制，到实现电机正反转切换、服务机床进退刀的正反转控制，再到方便多地操控大型厂房通风设备的多地控制线路，各有千秋。</w:t>
      </w:r>
    </w:p>
    <w:p w14:paraId="3B0DF95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0" w:right="0" w:rightChars="0" w:firstLine="640" w:firstLineChars="200"/>
        <w:jc w:val="left"/>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5.</w:t>
      </w:r>
      <w:r>
        <w:rPr>
          <w:rFonts w:hint="default" w:ascii="仿宋_GB2312" w:hAnsi="仿宋_GB2312" w:eastAsia="仿宋_GB2312" w:cs="仿宋_GB2312"/>
          <w:b w:val="0"/>
          <w:bCs w:val="0"/>
          <w:spacing w:val="0"/>
          <w:kern w:val="56"/>
          <w:sz w:val="32"/>
          <w:szCs w:val="32"/>
          <w:lang w:val="en-US" w:eastAsia="zh-CN" w:bidi="zh-CN"/>
        </w:rPr>
        <w:t>锅炉设备运行与检修</w:t>
      </w:r>
      <w:r>
        <w:rPr>
          <w:rFonts w:hint="eastAsia" w:ascii="仿宋_GB2312" w:hAnsi="仿宋_GB2312" w:eastAsia="仿宋_GB2312" w:cs="仿宋_GB2312"/>
          <w:b w:val="0"/>
          <w:bCs w:val="0"/>
          <w:spacing w:val="0"/>
          <w:kern w:val="56"/>
          <w:sz w:val="32"/>
          <w:szCs w:val="32"/>
          <w:lang w:val="en-US" w:eastAsia="zh-CN" w:bidi="zh-CN"/>
        </w:rPr>
        <w:t>（108学时6学分）</w:t>
      </w:r>
    </w:p>
    <w:p w14:paraId="417E9739">
      <w:pPr>
        <w:keepNext w:val="0"/>
        <w:keepLines w:val="0"/>
        <w:pageBreakBefore w:val="0"/>
        <w:widowControl w:val="0"/>
        <w:kinsoku/>
        <w:wordWrap/>
        <w:overflowPunct/>
        <w:topLinePunct/>
        <w:autoSpaceDE w:val="0"/>
        <w:autoSpaceDN/>
        <w:bidi w:val="0"/>
        <w:adjustRightInd w:val="0"/>
        <w:snapToGrid w:val="0"/>
        <w:spacing w:afterAutospacing="0" w:line="560" w:lineRule="exact"/>
        <w:ind w:left="0" w:leftChars="0" w:right="0" w:rightChars="0" w:firstLine="640" w:firstLineChars="200"/>
        <w:jc w:val="left"/>
        <w:textAlignment w:val="auto"/>
        <w:rPr>
          <w:rFonts w:hint="default" w:ascii="仿宋_GB2312" w:hAnsi="仿宋_GB2312" w:eastAsia="仿宋_GB2312" w:cs="仿宋_GB2312"/>
          <w:b w:val="0"/>
          <w:bCs w:val="0"/>
          <w:spacing w:val="0"/>
          <w:kern w:val="56"/>
          <w:sz w:val="32"/>
          <w:szCs w:val="32"/>
          <w:lang w:val="en-US" w:eastAsia="zh-CN" w:bidi="zh-CN"/>
        </w:rPr>
      </w:pPr>
      <w:r>
        <w:rPr>
          <w:rFonts w:hint="default" w:ascii="仿宋_GB2312" w:hAnsi="仿宋_GB2312" w:eastAsia="仿宋_GB2312" w:cs="仿宋_GB2312"/>
          <w:b w:val="0"/>
          <w:bCs w:val="0"/>
          <w:spacing w:val="0"/>
          <w:kern w:val="56"/>
          <w:sz w:val="32"/>
          <w:szCs w:val="32"/>
          <w:lang w:val="en-US" w:eastAsia="zh-CN" w:bidi="zh-CN"/>
        </w:rPr>
        <w:t>锅炉设备运行与检修</w:t>
      </w:r>
      <w:r>
        <w:rPr>
          <w:rFonts w:hint="eastAsia" w:ascii="仿宋_GB2312" w:hAnsi="仿宋_GB2312" w:eastAsia="仿宋_GB2312" w:cs="仿宋_GB2312"/>
          <w:b w:val="0"/>
          <w:bCs w:val="0"/>
          <w:spacing w:val="0"/>
          <w:kern w:val="56"/>
          <w:sz w:val="32"/>
          <w:szCs w:val="32"/>
          <w:lang w:val="en-US" w:eastAsia="zh-CN" w:bidi="zh-CN"/>
        </w:rPr>
        <w:t xml:space="preserve"> </w:t>
      </w:r>
      <w:r>
        <w:rPr>
          <w:rFonts w:hint="default" w:ascii="仿宋_GB2312" w:hAnsi="仿宋_GB2312" w:eastAsia="仿宋_GB2312" w:cs="仿宋_GB2312"/>
          <w:b w:val="0"/>
          <w:bCs w:val="0"/>
          <w:spacing w:val="0"/>
          <w:kern w:val="56"/>
          <w:sz w:val="32"/>
          <w:szCs w:val="32"/>
          <w:lang w:val="en-US" w:eastAsia="zh-CN" w:bidi="zh-CN"/>
        </w:rPr>
        <w:t>主要讲解锅炉的结构组成，如锅筒、水冷壁、过热器等部件。运行方面，涵盖启动、停运操作，负荷调节，水位、汽温、汽压等参数控制。还会深入分析常见故障，如受热面泄漏、燃烧不稳定等的原因与处理方法。检修内容包括检修计划制定，设备解体、检查、修复及回装工艺，像受热面管排的更换、阀门研磨等技术，旨在培养学生对锅炉运行维护及故障处理能力。</w:t>
      </w:r>
    </w:p>
    <w:p w14:paraId="5CA45123">
      <w:pPr>
        <w:keepNext w:val="0"/>
        <w:keepLines w:val="0"/>
        <w:pageBreakBefore w:val="0"/>
        <w:widowControl w:val="0"/>
        <w:kinsoku/>
        <w:wordWrap/>
        <w:overflowPunct/>
        <w:topLinePunct/>
        <w:autoSpaceDE w:val="0"/>
        <w:autoSpaceDN/>
        <w:bidi w:val="0"/>
        <w:adjustRightInd w:val="0"/>
        <w:snapToGrid w:val="0"/>
        <w:spacing w:afterAutospacing="0" w:line="560" w:lineRule="exact"/>
        <w:ind w:left="0" w:leftChars="0" w:right="0" w:rightChars="0" w:firstLine="640" w:firstLineChars="200"/>
        <w:jc w:val="left"/>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6.</w:t>
      </w:r>
      <w:r>
        <w:rPr>
          <w:rFonts w:hint="default" w:ascii="仿宋_GB2312" w:hAnsi="仿宋_GB2312" w:eastAsia="仿宋_GB2312" w:cs="仿宋_GB2312"/>
          <w:b w:val="0"/>
          <w:bCs w:val="0"/>
          <w:spacing w:val="0"/>
          <w:kern w:val="56"/>
          <w:sz w:val="32"/>
          <w:szCs w:val="32"/>
          <w:lang w:val="en-US" w:eastAsia="zh-CN" w:bidi="zh-CN"/>
        </w:rPr>
        <w:t>发电厂集控运行</w:t>
      </w:r>
      <w:r>
        <w:rPr>
          <w:rFonts w:hint="eastAsia" w:ascii="仿宋_GB2312" w:hAnsi="仿宋_GB2312" w:eastAsia="仿宋_GB2312" w:cs="仿宋_GB2312"/>
          <w:b w:val="0"/>
          <w:bCs w:val="0"/>
          <w:spacing w:val="0"/>
          <w:kern w:val="56"/>
          <w:sz w:val="32"/>
          <w:szCs w:val="32"/>
          <w:lang w:val="en-US" w:eastAsia="zh-CN" w:bidi="zh-CN"/>
        </w:rPr>
        <w:t xml:space="preserve">（108学时6学分）                                                                                                                                       </w:t>
      </w:r>
    </w:p>
    <w:p w14:paraId="46F0BFF1">
      <w:pPr>
        <w:keepNext w:val="0"/>
        <w:keepLines w:val="0"/>
        <w:pageBreakBefore w:val="0"/>
        <w:widowControl w:val="0"/>
        <w:kinsoku/>
        <w:wordWrap/>
        <w:overflowPunct/>
        <w:topLinePunct/>
        <w:autoSpaceDE w:val="0"/>
        <w:autoSpaceDN/>
        <w:bidi w:val="0"/>
        <w:adjustRightInd w:val="0"/>
        <w:snapToGrid w:val="0"/>
        <w:spacing w:afterAutospacing="0" w:line="560" w:lineRule="exact"/>
        <w:ind w:left="0" w:leftChars="0" w:right="0" w:rightChars="0" w:firstLine="640" w:firstLineChars="200"/>
        <w:jc w:val="left"/>
        <w:textAlignment w:val="auto"/>
        <w:rPr>
          <w:rFonts w:hint="eastAsia" w:ascii="仿宋_GB2312" w:hAnsi="仿宋_GB2312" w:eastAsia="仿宋_GB2312" w:cs="仿宋_GB2312"/>
          <w:b w:val="0"/>
          <w:bCs w:val="0"/>
          <w:spacing w:val="0"/>
          <w:kern w:val="56"/>
          <w:sz w:val="32"/>
          <w:szCs w:val="32"/>
          <w:lang w:val="en-US" w:eastAsia="zh-CN" w:bidi="zh-CN"/>
        </w:rPr>
      </w:pPr>
      <w:r>
        <w:rPr>
          <w:rFonts w:hint="default" w:ascii="仿宋_GB2312" w:hAnsi="仿宋_GB2312" w:eastAsia="仿宋_GB2312" w:cs="仿宋_GB2312"/>
          <w:b w:val="0"/>
          <w:bCs w:val="0"/>
          <w:spacing w:val="0"/>
          <w:kern w:val="56"/>
          <w:sz w:val="32"/>
          <w:szCs w:val="32"/>
          <w:lang w:val="en-US" w:eastAsia="zh-CN" w:bidi="zh-CN"/>
        </w:rPr>
        <w:t>发电厂集控运行课程旨在全方位培养学生掌控发电厂整体运行的能力。课程先夯实热工、电工电子、自动控制等理论基础，帮助学生理解能量转换、电气原理及自动化控制机制。接着深入剖析锅炉、汽轮机、发电机等主要设备，以及热力、电气等系统的构造、原理与运行模式。重点聚焦单元机组的启动、停运、负荷调节、故障处理等实操环节，融合DCS、PLC 等先进集控技术教学，让学生熟练掌握人机界面操作与参数优化。同时，着重传授机组协调控制策略，确保学生能依据电网需求，实现机炉电协同运作，保障发电厂安全、高效、稳定地生产电力 。</w:t>
      </w:r>
    </w:p>
    <w:p w14:paraId="429416A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7.</w:t>
      </w:r>
      <w:r>
        <w:rPr>
          <w:rFonts w:hint="default" w:ascii="仿宋_GB2312" w:hAnsi="仿宋_GB2312" w:eastAsia="仿宋_GB2312" w:cs="仿宋_GB2312"/>
          <w:b w:val="0"/>
          <w:bCs w:val="0"/>
          <w:spacing w:val="0"/>
          <w:kern w:val="56"/>
          <w:sz w:val="32"/>
          <w:szCs w:val="32"/>
          <w:lang w:val="en-US" w:eastAsia="zh-CN" w:bidi="zh-CN"/>
        </w:rPr>
        <w:t>电厂汽轮机运行</w:t>
      </w:r>
      <w:r>
        <w:rPr>
          <w:rFonts w:hint="eastAsia" w:ascii="仿宋_GB2312" w:hAnsi="仿宋_GB2312" w:eastAsia="仿宋_GB2312" w:cs="仿宋_GB2312"/>
          <w:b w:val="0"/>
          <w:bCs w:val="0"/>
          <w:spacing w:val="0"/>
          <w:kern w:val="56"/>
          <w:sz w:val="32"/>
          <w:szCs w:val="32"/>
          <w:lang w:val="en-US" w:eastAsia="zh-CN" w:bidi="zh-CN"/>
        </w:rPr>
        <w:t>（108学时 6学分）</w:t>
      </w:r>
    </w:p>
    <w:p w14:paraId="66CBAC8F">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default" w:ascii="仿宋_GB2312" w:hAnsi="仿宋_GB2312" w:eastAsia="仿宋_GB2312" w:cs="仿宋_GB2312"/>
          <w:b w:val="0"/>
          <w:bCs w:val="0"/>
          <w:spacing w:val="0"/>
          <w:kern w:val="56"/>
          <w:sz w:val="32"/>
          <w:szCs w:val="32"/>
          <w:lang w:val="en-US" w:eastAsia="zh-CN" w:bidi="zh-CN"/>
        </w:rPr>
      </w:pPr>
      <w:r>
        <w:rPr>
          <w:rFonts w:hint="default" w:ascii="仿宋_GB2312" w:hAnsi="仿宋_GB2312" w:eastAsia="仿宋_GB2312" w:cs="仿宋_GB2312"/>
          <w:b w:val="0"/>
          <w:bCs w:val="0"/>
          <w:spacing w:val="0"/>
          <w:kern w:val="56"/>
          <w:sz w:val="32"/>
          <w:szCs w:val="32"/>
          <w:lang w:val="en-US" w:eastAsia="zh-CN" w:bidi="zh-CN"/>
        </w:rPr>
        <w:t>电厂汽轮机运行着重阐述汽轮机的工作原理，冲动式、反动式汽轮机的结构特点。运行部分涉及启动前准备，如暖管、暖机，以及不同工况下的负荷调节方式。同时讲解汽轮机运行中的监测与保护，例如振动、轴向位移、油温等参数的监控，以及超速、低真空等保护装置的原理与作用，让学生掌握汽轮机安全稳定运行的操作要点。</w:t>
      </w:r>
    </w:p>
    <w:p w14:paraId="25F5566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8.</w:t>
      </w:r>
      <w:r>
        <w:rPr>
          <w:rFonts w:hint="default" w:ascii="仿宋_GB2312" w:hAnsi="仿宋_GB2312" w:eastAsia="仿宋_GB2312" w:cs="仿宋_GB2312"/>
          <w:b w:val="0"/>
          <w:bCs w:val="0"/>
          <w:spacing w:val="0"/>
          <w:kern w:val="56"/>
          <w:sz w:val="32"/>
          <w:szCs w:val="32"/>
          <w:lang w:val="en-US" w:eastAsia="zh-CN" w:bidi="zh-CN"/>
        </w:rPr>
        <w:t>热力过程自动化</w:t>
      </w:r>
      <w:r>
        <w:rPr>
          <w:rFonts w:hint="eastAsia" w:ascii="仿宋_GB2312" w:hAnsi="仿宋_GB2312" w:eastAsia="仿宋_GB2312" w:cs="仿宋_GB2312"/>
          <w:b w:val="0"/>
          <w:bCs w:val="0"/>
          <w:spacing w:val="0"/>
          <w:kern w:val="56"/>
          <w:sz w:val="32"/>
          <w:szCs w:val="32"/>
          <w:lang w:val="en-US" w:eastAsia="zh-CN" w:bidi="zh-CN"/>
        </w:rPr>
        <w:t>（108学时 6 学分）</w:t>
      </w:r>
    </w:p>
    <w:p w14:paraId="6463D2F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default" w:ascii="仿宋_GB2312" w:hAnsi="仿宋_GB2312" w:eastAsia="仿宋_GB2312" w:cs="仿宋_GB2312"/>
          <w:b w:val="0"/>
          <w:bCs w:val="0"/>
          <w:spacing w:val="0"/>
          <w:kern w:val="56"/>
          <w:sz w:val="32"/>
          <w:szCs w:val="32"/>
          <w:lang w:val="en-US" w:eastAsia="zh-CN" w:bidi="zh-CN"/>
        </w:rPr>
      </w:pPr>
      <w:r>
        <w:rPr>
          <w:rFonts w:hint="default" w:ascii="仿宋_GB2312" w:hAnsi="仿宋_GB2312" w:eastAsia="仿宋_GB2312" w:cs="仿宋_GB2312"/>
          <w:b w:val="0"/>
          <w:bCs w:val="0"/>
          <w:spacing w:val="0"/>
          <w:kern w:val="56"/>
          <w:sz w:val="32"/>
          <w:szCs w:val="32"/>
          <w:lang w:val="en-US" w:eastAsia="zh-CN" w:bidi="zh-CN"/>
        </w:rPr>
        <w:t>热力过程自动化聚焦于热力系统中自动化装置与系统。讲解各类热工测量仪表，如温度、压力、流量传感器的原理与应用。自动化控制方面，包括单回路、串级等控制系统的结构与原理，以及如何实现对锅炉、汽轮机等设备的自动控制。还会介绍分散控制系统（DCS）的组成与功能，使学生了解如何利用自动化手段保障热力过程高效、稳定运行。</w:t>
      </w:r>
    </w:p>
    <w:p w14:paraId="2A4E115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9.</w:t>
      </w:r>
      <w:r>
        <w:rPr>
          <w:rFonts w:hint="default" w:ascii="仿宋_GB2312" w:hAnsi="仿宋_GB2312" w:eastAsia="仿宋_GB2312" w:cs="仿宋_GB2312"/>
          <w:b w:val="0"/>
          <w:bCs w:val="0"/>
          <w:spacing w:val="0"/>
          <w:kern w:val="56"/>
          <w:sz w:val="32"/>
          <w:szCs w:val="32"/>
          <w:lang w:val="en-US" w:eastAsia="zh-CN" w:bidi="zh-CN"/>
        </w:rPr>
        <w:t>泵与风机</w:t>
      </w:r>
      <w:r>
        <w:rPr>
          <w:rFonts w:hint="eastAsia" w:ascii="仿宋_GB2312" w:hAnsi="仿宋_GB2312" w:eastAsia="仿宋_GB2312" w:cs="仿宋_GB2312"/>
          <w:b w:val="0"/>
          <w:bCs w:val="0"/>
          <w:spacing w:val="0"/>
          <w:kern w:val="56"/>
          <w:sz w:val="32"/>
          <w:szCs w:val="32"/>
          <w:lang w:val="en-US" w:eastAsia="zh-CN" w:bidi="zh-CN"/>
        </w:rPr>
        <w:t>（144学时8 学分）</w:t>
      </w:r>
    </w:p>
    <w:p w14:paraId="16215AF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default" w:ascii="仿宋_GB2312" w:hAnsi="仿宋_GB2312" w:eastAsia="仿宋_GB2312" w:cs="仿宋_GB2312"/>
          <w:b w:val="0"/>
          <w:bCs w:val="0"/>
          <w:spacing w:val="0"/>
          <w:kern w:val="56"/>
          <w:sz w:val="32"/>
          <w:szCs w:val="32"/>
          <w:lang w:val="en-US" w:eastAsia="zh-CN" w:bidi="zh-CN"/>
        </w:rPr>
      </w:pPr>
      <w:r>
        <w:rPr>
          <w:rFonts w:hint="default" w:ascii="仿宋_GB2312" w:hAnsi="仿宋_GB2312" w:eastAsia="仿宋_GB2312" w:cs="仿宋_GB2312"/>
          <w:b w:val="0"/>
          <w:bCs w:val="0"/>
          <w:spacing w:val="0"/>
          <w:kern w:val="56"/>
          <w:sz w:val="32"/>
          <w:szCs w:val="32"/>
          <w:lang w:val="en-US" w:eastAsia="zh-CN" w:bidi="zh-CN"/>
        </w:rPr>
        <w:t>主要介绍泵与风机的工作原理，如离心式、轴流式的区别。详细讲解其结构，包括叶轮、泵壳、风机蜗壳等部件。性能方面，分析流量、扬程、功率、效率等参数之间的关系，以及不同工况下性能曲线的变化。还会涉及选型计算，根据实际需求选择合适的泵与风机，以及运行维护要点，如防止汽蚀、喘振等问题。</w:t>
      </w:r>
    </w:p>
    <w:p w14:paraId="26465CC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10.</w:t>
      </w:r>
      <w:r>
        <w:rPr>
          <w:rFonts w:hint="default" w:ascii="仿宋_GB2312" w:hAnsi="仿宋_GB2312" w:eastAsia="仿宋_GB2312" w:cs="仿宋_GB2312"/>
          <w:b w:val="0"/>
          <w:bCs w:val="0"/>
          <w:spacing w:val="0"/>
          <w:kern w:val="56"/>
          <w:sz w:val="32"/>
          <w:szCs w:val="32"/>
          <w:lang w:val="en-US" w:eastAsia="zh-CN" w:bidi="zh-CN"/>
        </w:rPr>
        <w:t>单元机组运行</w:t>
      </w:r>
      <w:r>
        <w:rPr>
          <w:rFonts w:hint="eastAsia" w:ascii="仿宋_GB2312" w:hAnsi="仿宋_GB2312" w:eastAsia="仿宋_GB2312" w:cs="仿宋_GB2312"/>
          <w:b w:val="0"/>
          <w:bCs w:val="0"/>
          <w:spacing w:val="0"/>
          <w:kern w:val="56"/>
          <w:sz w:val="32"/>
          <w:szCs w:val="32"/>
          <w:lang w:val="en-US" w:eastAsia="zh-CN" w:bidi="zh-CN"/>
        </w:rPr>
        <w:t>（108学时 6 学分）</w:t>
      </w:r>
    </w:p>
    <w:p w14:paraId="120B459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default" w:ascii="仿宋_GB2312" w:hAnsi="仿宋_GB2312" w:eastAsia="仿宋_GB2312" w:cs="仿宋_GB2312"/>
          <w:b w:val="0"/>
          <w:bCs w:val="0"/>
          <w:spacing w:val="0"/>
          <w:kern w:val="56"/>
          <w:sz w:val="32"/>
          <w:szCs w:val="32"/>
          <w:lang w:val="en-US" w:eastAsia="zh-CN" w:bidi="zh-CN"/>
        </w:rPr>
      </w:pPr>
      <w:r>
        <w:rPr>
          <w:rFonts w:hint="default" w:ascii="仿宋_GB2312" w:hAnsi="仿宋_GB2312" w:eastAsia="仿宋_GB2312" w:cs="仿宋_GB2312"/>
          <w:b w:val="0"/>
          <w:bCs w:val="0"/>
          <w:spacing w:val="0"/>
          <w:kern w:val="56"/>
          <w:sz w:val="32"/>
          <w:szCs w:val="32"/>
          <w:lang w:val="en-US" w:eastAsia="zh-CN" w:bidi="zh-CN"/>
        </w:rPr>
        <w:t>以火力发电厂单元机组为对象，讲解机、炉、电一体化的运行方式。涵盖单元机组的启动、停运过程，包括启动前的检查与准备，各阶段的操作步骤与注意事项。分析不同负荷下机组的协调控制策略，如锅炉跟随、汽轮机跟随、协调控制等方式。同时介绍运行中的故障诊断与处理，如机组甩负荷、汽水共腾等异常情况的应对方法，培养学生对单元机组整体运行的把控能力。</w:t>
      </w:r>
    </w:p>
    <w:p w14:paraId="6910344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11.</w:t>
      </w:r>
      <w:r>
        <w:rPr>
          <w:rFonts w:hint="default" w:ascii="仿宋_GB2312" w:hAnsi="仿宋_GB2312" w:eastAsia="仿宋_GB2312" w:cs="仿宋_GB2312"/>
          <w:b w:val="0"/>
          <w:bCs w:val="0"/>
          <w:spacing w:val="0"/>
          <w:kern w:val="56"/>
          <w:sz w:val="32"/>
          <w:szCs w:val="32"/>
          <w:lang w:val="en-US" w:eastAsia="zh-CN" w:bidi="zh-CN"/>
        </w:rPr>
        <w:t>热力设备检修基础工艺</w:t>
      </w:r>
      <w:r>
        <w:rPr>
          <w:rFonts w:hint="eastAsia" w:ascii="仿宋_GB2312" w:hAnsi="仿宋_GB2312" w:eastAsia="仿宋_GB2312" w:cs="仿宋_GB2312"/>
          <w:b w:val="0"/>
          <w:bCs w:val="0"/>
          <w:spacing w:val="0"/>
          <w:kern w:val="56"/>
          <w:sz w:val="32"/>
          <w:szCs w:val="32"/>
          <w:lang w:val="en-US" w:eastAsia="zh-CN" w:bidi="zh-CN"/>
        </w:rPr>
        <w:t>（108学时 6 学分）</w:t>
      </w:r>
    </w:p>
    <w:p w14:paraId="67199EA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default" w:ascii="仿宋_GB2312" w:hAnsi="仿宋_GB2312" w:eastAsia="仿宋_GB2312" w:cs="仿宋_GB2312"/>
          <w:b w:val="0"/>
          <w:bCs w:val="0"/>
          <w:spacing w:val="0"/>
          <w:kern w:val="56"/>
          <w:sz w:val="32"/>
          <w:szCs w:val="32"/>
          <w:lang w:val="en-US" w:eastAsia="zh-CN" w:bidi="zh-CN"/>
        </w:rPr>
      </w:pPr>
      <w:r>
        <w:rPr>
          <w:rFonts w:hint="default" w:ascii="仿宋_GB2312" w:hAnsi="仿宋_GB2312" w:eastAsia="仿宋_GB2312" w:cs="仿宋_GB2312"/>
          <w:b w:val="0"/>
          <w:bCs w:val="0"/>
          <w:spacing w:val="0"/>
          <w:kern w:val="56"/>
          <w:sz w:val="32"/>
          <w:szCs w:val="32"/>
          <w:lang w:val="en-US" w:eastAsia="zh-CN" w:bidi="zh-CN"/>
        </w:rPr>
        <w:t>主要教授热力设备检修通用的基础工艺。包括设备拆卸与装配技术，如螺纹连接、键连接、过盈配合的拆装方法与技巧。讲解金属材料的焊接、切割工艺，不同焊接方法的特点与应用。还会涉及检测技术，如无损检测（超声、射线、磁粉等）的原理与操作，以及零部件的修复工艺，如电刷镀、热喷涂等，使学生掌握热力设备检修的基本技能。</w:t>
      </w:r>
    </w:p>
    <w:p w14:paraId="3FF0B92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12.</w:t>
      </w:r>
      <w:r>
        <w:rPr>
          <w:rFonts w:hint="default" w:ascii="仿宋_GB2312" w:hAnsi="仿宋_GB2312" w:eastAsia="仿宋_GB2312" w:cs="仿宋_GB2312"/>
          <w:b w:val="0"/>
          <w:bCs w:val="0"/>
          <w:spacing w:val="0"/>
          <w:kern w:val="56"/>
          <w:sz w:val="32"/>
          <w:szCs w:val="32"/>
          <w:lang w:val="en-US" w:eastAsia="zh-CN" w:bidi="zh-CN"/>
        </w:rPr>
        <w:t>热力学基础</w:t>
      </w:r>
      <w:r>
        <w:rPr>
          <w:rFonts w:hint="eastAsia" w:ascii="仿宋_GB2312" w:hAnsi="仿宋_GB2312" w:eastAsia="仿宋_GB2312" w:cs="仿宋_GB2312"/>
          <w:b w:val="0"/>
          <w:bCs w:val="0"/>
          <w:spacing w:val="0"/>
          <w:kern w:val="56"/>
          <w:sz w:val="32"/>
          <w:szCs w:val="32"/>
          <w:lang w:val="en-US" w:eastAsia="zh-CN" w:bidi="zh-CN"/>
        </w:rPr>
        <w:t xml:space="preserve">（108学时 6学分） </w:t>
      </w:r>
    </w:p>
    <w:p w14:paraId="182C70B9">
      <w:pPr>
        <w:keepNext w:val="0"/>
        <w:keepLines w:val="0"/>
        <w:pageBreakBefore w:val="0"/>
        <w:widowControl/>
        <w:numPr>
          <w:ilvl w:val="0"/>
          <w:numId w:val="0"/>
        </w:numPr>
        <w:suppressLineNumbers w:val="0"/>
        <w:pBdr>
          <w:left w:val="none" w:color="auto" w:sz="0" w:space="0"/>
        </w:pBdr>
        <w:kinsoku/>
        <w:wordWrap/>
        <w:overflowPunct/>
        <w:topLinePunct w:val="0"/>
        <w:bidi w:val="0"/>
        <w:spacing w:beforeAutospacing="0" w:afterAutospacing="0" w:line="560" w:lineRule="exact"/>
        <w:ind w:left="0" w:leftChars="0" w:right="0" w:rightChars="0" w:firstLine="640" w:firstLineChars="200"/>
        <w:textAlignment w:val="auto"/>
        <w:rPr>
          <w:rFonts w:hint="default" w:ascii="仿宋_GB2312" w:hAnsi="仿宋_GB2312" w:eastAsia="仿宋_GB2312" w:cs="仿宋_GB2312"/>
          <w:b w:val="0"/>
          <w:bCs w:val="0"/>
          <w:spacing w:val="0"/>
          <w:kern w:val="56"/>
          <w:sz w:val="32"/>
          <w:szCs w:val="32"/>
          <w:lang w:val="en-US" w:eastAsia="zh-CN" w:bidi="zh-CN"/>
        </w:rPr>
      </w:pPr>
      <w:bookmarkStart w:id="18" w:name="_Toc7684"/>
      <w:r>
        <w:rPr>
          <w:rFonts w:hint="default" w:ascii="仿宋_GB2312" w:hAnsi="仿宋_GB2312" w:eastAsia="仿宋_GB2312" w:cs="仿宋_GB2312"/>
          <w:b w:val="0"/>
          <w:bCs w:val="0"/>
          <w:spacing w:val="0"/>
          <w:kern w:val="56"/>
          <w:sz w:val="32"/>
          <w:szCs w:val="32"/>
          <w:lang w:val="en-US" w:eastAsia="zh-CN" w:bidi="zh-CN"/>
        </w:rPr>
        <w:t>热力学基础重点讲解热力学基本概念，如温度、压力、内能、熵等。介绍热力学第一定律，能量守恒在热力过程中的应用，通过功、热量、内能变化的计算分析热力过程。讲解热力学第二定律，阐述热传递的方向性、熵增原理等。还会涉及理想气体状态方程、热力过程（等压、等容、等温、绝热）分析，为后续学习热工设备及热力系统运行原理奠定理论基础。</w:t>
      </w:r>
    </w:p>
    <w:p w14:paraId="0125C445">
      <w:pPr>
        <w:pStyle w:val="2"/>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40" w:firstLineChars="200"/>
        <w:jc w:val="both"/>
        <w:textAlignment w:val="auto"/>
        <w:outlineLvl w:val="1"/>
        <w:rPr>
          <w:rFonts w:hint="eastAsia" w:ascii="楷体" w:hAnsi="楷体" w:eastAsia="楷体" w:cs="楷体"/>
          <w:color w:val="auto"/>
          <w:kern w:val="2"/>
          <w:sz w:val="32"/>
          <w:szCs w:val="32"/>
          <w:lang w:val="en-US" w:eastAsia="zh-CN" w:bidi="zh-CN"/>
        </w:rPr>
      </w:pPr>
      <w:r>
        <w:rPr>
          <w:rFonts w:hint="eastAsia" w:ascii="楷体" w:hAnsi="楷体" w:eastAsia="楷体" w:cs="楷体"/>
          <w:color w:val="auto"/>
          <w:kern w:val="2"/>
          <w:sz w:val="32"/>
          <w:szCs w:val="32"/>
          <w:lang w:val="en-US" w:eastAsia="zh-CN" w:bidi="zh-CN"/>
        </w:rPr>
        <w:t>（三）综合实践</w:t>
      </w:r>
      <w:bookmarkEnd w:id="18"/>
    </w:p>
    <w:p w14:paraId="0C0DC0A3">
      <w:pPr>
        <w:keepNext w:val="0"/>
        <w:keepLines w:val="0"/>
        <w:pageBreakBefore w:val="0"/>
        <w:widowControl/>
        <w:numPr>
          <w:ilvl w:val="0"/>
          <w:numId w:val="0"/>
        </w:numPr>
        <w:suppressLineNumbers w:val="0"/>
        <w:pBdr>
          <w:left w:val="none" w:color="auto" w:sz="0" w:space="0"/>
        </w:pBdr>
        <w:kinsoku/>
        <w:wordWrap/>
        <w:overflowPunct/>
        <w:topLinePunct w:val="0"/>
        <w:bidi w:val="0"/>
        <w:spacing w:beforeAutospacing="0" w:afterAutospacing="0" w:line="560" w:lineRule="exact"/>
        <w:ind w:left="0" w:leftChars="0" w:right="0" w:rightChars="0" w:firstLine="640" w:firstLineChars="200"/>
        <w:textAlignment w:val="auto"/>
        <w:rPr>
          <w:rFonts w:hint="eastAsia" w:ascii="仿宋_GB2312" w:hAnsi="仿宋_GB2312" w:eastAsia="仿宋_GB2312" w:cs="仿宋_GB2312"/>
          <w:b w:val="0"/>
          <w:bCs w:val="0"/>
          <w:spacing w:val="0"/>
          <w:kern w:val="56"/>
          <w:sz w:val="32"/>
          <w:szCs w:val="32"/>
          <w:lang w:val="en-US" w:eastAsia="zh-CN" w:bidi="zh-CN"/>
        </w:rPr>
      </w:pPr>
      <w:bookmarkStart w:id="19" w:name="_Toc12604"/>
      <w:r>
        <w:rPr>
          <w:rFonts w:hint="eastAsia" w:ascii="仿宋_GB2312" w:hAnsi="仿宋_GB2312" w:eastAsia="仿宋_GB2312" w:cs="仿宋_GB2312"/>
          <w:b w:val="0"/>
          <w:bCs w:val="0"/>
          <w:spacing w:val="0"/>
          <w:kern w:val="56"/>
          <w:sz w:val="32"/>
          <w:szCs w:val="32"/>
          <w:lang w:val="en-US" w:eastAsia="zh-CN" w:bidi="zh-CN"/>
        </w:rPr>
        <w:t>1.</w:t>
      </w:r>
      <w:bookmarkEnd w:id="19"/>
      <w:r>
        <w:rPr>
          <w:rFonts w:hint="default" w:ascii="仿宋_GB2312" w:hAnsi="仿宋_GB2312" w:eastAsia="仿宋_GB2312" w:cs="仿宋_GB2312"/>
          <w:b w:val="0"/>
          <w:bCs w:val="0"/>
          <w:spacing w:val="0"/>
          <w:kern w:val="56"/>
          <w:sz w:val="32"/>
          <w:szCs w:val="32"/>
          <w:lang w:val="en-US" w:eastAsia="zh-CN" w:bidi="zh-CN"/>
        </w:rPr>
        <w:t>火电机组运行仿真实习</w:t>
      </w:r>
    </w:p>
    <w:p w14:paraId="6D3CA404">
      <w:pPr>
        <w:keepNext w:val="0"/>
        <w:keepLines w:val="0"/>
        <w:pageBreakBefore w:val="0"/>
        <w:widowControl/>
        <w:numPr>
          <w:ilvl w:val="0"/>
          <w:numId w:val="0"/>
        </w:numPr>
        <w:suppressLineNumbers w:val="0"/>
        <w:pBdr>
          <w:left w:val="none" w:color="auto" w:sz="0" w:space="0"/>
        </w:pBdr>
        <w:kinsoku/>
        <w:wordWrap/>
        <w:overflowPunct/>
        <w:topLinePunct w:val="0"/>
        <w:bidi w:val="0"/>
        <w:spacing w:beforeAutospacing="0" w:afterAutospacing="0" w:line="560" w:lineRule="exact"/>
        <w:ind w:left="0" w:leftChars="0" w:right="0" w:rightChars="0" w:firstLine="640" w:firstLineChars="200"/>
        <w:textAlignment w:val="auto"/>
        <w:rPr>
          <w:rFonts w:hint="default" w:ascii="仿宋_GB2312" w:hAnsi="仿宋_GB2312" w:eastAsia="仿宋_GB2312" w:cs="仿宋_GB2312"/>
          <w:b w:val="0"/>
          <w:bCs w:val="0"/>
          <w:spacing w:val="0"/>
          <w:kern w:val="56"/>
          <w:sz w:val="32"/>
          <w:szCs w:val="32"/>
          <w:lang w:val="en-US" w:eastAsia="zh-CN" w:bidi="zh-CN"/>
        </w:rPr>
      </w:pPr>
      <w:bookmarkStart w:id="20" w:name="_Toc15665"/>
      <w:r>
        <w:rPr>
          <w:rFonts w:hint="default" w:ascii="仿宋_GB2312" w:hAnsi="仿宋_GB2312" w:eastAsia="仿宋_GB2312" w:cs="仿宋_GB2312"/>
          <w:b w:val="0"/>
          <w:bCs w:val="0"/>
          <w:spacing w:val="0"/>
          <w:kern w:val="56"/>
          <w:sz w:val="32"/>
          <w:szCs w:val="32"/>
          <w:lang w:val="en-US" w:eastAsia="zh-CN" w:bidi="zh-CN"/>
        </w:rPr>
        <w:t>火电机组运行仿真实习，主要通过模拟火电机组的运行环境，让学员熟悉机组启动、停止、负荷调整等操作流程。学员需在仿真系统中，依据操作规程，进行各项参数的设定与监控，如蒸汽压力、温度，以及机组的功率等。同时，模拟处理诸如设备故障、参数异常等突发状况，锻炼应急处理能力。此实习意义重大，能让学员在安全无风险的虚拟环境下，全面掌握火电机组运行技能，为进入实际工作岗位积累经验，降低实际操作失误风险，提升对火电机组整体运行的认知。</w:t>
      </w:r>
    </w:p>
    <w:p w14:paraId="12D1720A">
      <w:pPr>
        <w:keepNext w:val="0"/>
        <w:keepLines w:val="0"/>
        <w:pageBreakBefore w:val="0"/>
        <w:widowControl/>
        <w:numPr>
          <w:ilvl w:val="0"/>
          <w:numId w:val="0"/>
        </w:numPr>
        <w:suppressLineNumbers w:val="0"/>
        <w:pBdr>
          <w:left w:val="none" w:color="auto" w:sz="0" w:space="0"/>
        </w:pBdr>
        <w:kinsoku/>
        <w:wordWrap/>
        <w:overflowPunct/>
        <w:topLinePunct w:val="0"/>
        <w:bidi w:val="0"/>
        <w:spacing w:beforeAutospacing="0" w:afterAutospacing="0" w:line="560" w:lineRule="exact"/>
        <w:ind w:left="0" w:leftChars="0" w:right="0" w:rightChars="0" w:firstLine="640" w:firstLineChars="200"/>
        <w:textAlignment w:val="auto"/>
        <w:rPr>
          <w:rFonts w:hint="eastAsia" w:ascii="仿宋_GB2312" w:hAnsi="仿宋_GB2312" w:eastAsia="仿宋_GB2312" w:cs="仿宋_GB2312"/>
          <w:b w:val="0"/>
          <w:bCs w:val="0"/>
          <w:spacing w:val="0"/>
          <w:kern w:val="56"/>
          <w:sz w:val="32"/>
          <w:szCs w:val="32"/>
          <w:lang w:val="en-US" w:eastAsia="zh-CN" w:bidi="zh-CN"/>
        </w:rPr>
      </w:pPr>
      <w:r>
        <w:rPr>
          <w:rFonts w:hint="eastAsia" w:ascii="仿宋_GB2312" w:hAnsi="仿宋_GB2312" w:eastAsia="仿宋_GB2312" w:cs="仿宋_GB2312"/>
          <w:b w:val="0"/>
          <w:bCs w:val="0"/>
          <w:spacing w:val="0"/>
          <w:kern w:val="56"/>
          <w:sz w:val="32"/>
          <w:szCs w:val="32"/>
          <w:lang w:val="en-US" w:eastAsia="zh-CN" w:bidi="zh-CN"/>
        </w:rPr>
        <w:t>2.</w:t>
      </w:r>
      <w:bookmarkEnd w:id="20"/>
      <w:r>
        <w:rPr>
          <w:rFonts w:hint="default" w:ascii="仿宋_GB2312" w:hAnsi="仿宋_GB2312" w:eastAsia="仿宋_GB2312" w:cs="仿宋_GB2312"/>
          <w:b w:val="0"/>
          <w:bCs w:val="0"/>
          <w:spacing w:val="0"/>
          <w:kern w:val="56"/>
          <w:sz w:val="32"/>
          <w:szCs w:val="32"/>
          <w:lang w:val="en-US" w:eastAsia="zh-CN" w:bidi="zh-CN"/>
        </w:rPr>
        <w:t>火力发电厂运行实习‌</w:t>
      </w:r>
    </w:p>
    <w:p w14:paraId="6871DAE7">
      <w:pPr>
        <w:keepNext w:val="0"/>
        <w:keepLines w:val="0"/>
        <w:pageBreakBefore w:val="0"/>
        <w:widowControl/>
        <w:numPr>
          <w:ilvl w:val="0"/>
          <w:numId w:val="0"/>
        </w:numPr>
        <w:suppressLineNumbers w:val="0"/>
        <w:pBdr>
          <w:left w:val="none" w:color="auto" w:sz="0" w:space="0"/>
        </w:pBdr>
        <w:kinsoku/>
        <w:wordWrap/>
        <w:overflowPunct/>
        <w:topLinePunct w:val="0"/>
        <w:bidi w:val="0"/>
        <w:spacing w:beforeAutospacing="0" w:afterAutospacing="0" w:line="560" w:lineRule="exact"/>
        <w:ind w:left="0" w:leftChars="0" w:right="0" w:rightChars="0" w:firstLine="640" w:firstLineChars="200"/>
        <w:textAlignment w:val="auto"/>
        <w:rPr>
          <w:rFonts w:hint="eastAsia" w:ascii="仿宋_GB2312" w:hAnsi="仿宋_GB2312" w:eastAsia="仿宋_GB2312" w:cs="仿宋_GB2312"/>
          <w:b w:val="0"/>
          <w:bCs w:val="0"/>
          <w:spacing w:val="0"/>
          <w:kern w:val="56"/>
          <w:sz w:val="32"/>
          <w:szCs w:val="32"/>
          <w:lang w:val="en-US" w:eastAsia="zh-CN" w:bidi="zh-CN"/>
        </w:rPr>
      </w:pPr>
      <w:r>
        <w:rPr>
          <w:rFonts w:hint="default" w:ascii="仿宋_GB2312" w:hAnsi="仿宋_GB2312" w:eastAsia="仿宋_GB2312" w:cs="仿宋_GB2312"/>
          <w:b w:val="0"/>
          <w:bCs w:val="0"/>
          <w:spacing w:val="0"/>
          <w:kern w:val="56"/>
          <w:sz w:val="32"/>
          <w:szCs w:val="32"/>
          <w:lang w:val="en-US" w:eastAsia="zh-CN" w:bidi="zh-CN"/>
        </w:rPr>
        <w:t>火力发电厂运行实习，学员深入发电厂现场，实地观察和学习整个发电流程。从燃料输送、锅炉燃烧、蒸汽轮机发电到电力输出等各个环节，学员跟随电厂师傅，了解设备结构、工作原理及实际运行状况。参与设备巡检，熟悉设备运行状态的检查要点，学习如何记录和分析运行数据。这一实习使学员直观感受火力发电的实际运作，将理论知识与实践紧密结合，增强对发电厂系统的整体认识，培养现场操作与问题解决能力，为未来从事火力发电相关工作奠定坚实基础。</w:t>
      </w:r>
    </w:p>
    <w:p w14:paraId="6096881F">
      <w:pPr>
        <w:pStyle w:val="3"/>
        <w:keepNext w:val="0"/>
        <w:keepLines w:val="0"/>
        <w:pageBreakBefore w:val="0"/>
        <w:widowControl/>
        <w:numPr>
          <w:ilvl w:val="0"/>
          <w:numId w:val="0"/>
        </w:numPr>
        <w:suppressLineNumbers w:val="0"/>
        <w:kinsoku/>
        <w:wordWrap/>
        <w:overflowPunct/>
        <w:topLinePunct w:val="0"/>
        <w:bidi w:val="0"/>
        <w:adjustRightInd/>
        <w:snapToGrid/>
        <w:spacing w:beforeAutospacing="0" w:afterAutospacing="0" w:line="560" w:lineRule="exact"/>
        <w:ind w:left="0" w:leftChars="0" w:right="0" w:rightChars="0" w:firstLine="640" w:firstLineChars="200"/>
        <w:textAlignment w:val="auto"/>
        <w:rPr>
          <w:rStyle w:val="11"/>
          <w:rFonts w:hint="eastAsia" w:ascii="黑体" w:hAnsi="宋体" w:eastAsia="黑体" w:cs="黑体"/>
          <w:b w:val="0"/>
          <w:bCs w:val="0"/>
          <w:sz w:val="32"/>
          <w:szCs w:val="32"/>
        </w:rPr>
      </w:pPr>
      <w:r>
        <w:rPr>
          <w:rFonts w:hint="eastAsia" w:ascii="黑体" w:hAnsi="宋体" w:eastAsia="黑体" w:cs="黑体"/>
          <w:b w:val="0"/>
          <w:bCs w:val="0"/>
          <w:sz w:val="32"/>
          <w:szCs w:val="32"/>
          <w:lang w:val="en-US" w:eastAsia="zh-CN" w:bidi="zh-CN"/>
        </w:rPr>
        <w:t>七</w:t>
      </w:r>
      <w:r>
        <w:rPr>
          <w:rFonts w:hint="eastAsia" w:ascii="黑体" w:hAnsi="宋体" w:eastAsia="黑体" w:cs="黑体"/>
          <w:b w:val="0"/>
          <w:bCs w:val="0"/>
          <w:sz w:val="32"/>
          <w:szCs w:val="32"/>
          <w:lang w:val="zh-CN" w:eastAsia="zh-CN" w:bidi="zh-CN"/>
        </w:rPr>
        <w:t>、</w:t>
      </w:r>
      <w:r>
        <w:rPr>
          <w:rStyle w:val="11"/>
          <w:rFonts w:hint="eastAsia" w:ascii="黑体" w:hAnsi="宋体" w:eastAsia="黑体" w:cs="黑体"/>
          <w:b w:val="0"/>
          <w:bCs w:val="0"/>
          <w:sz w:val="32"/>
          <w:szCs w:val="32"/>
        </w:rPr>
        <w:t>教学进程总体安排</w:t>
      </w:r>
    </w:p>
    <w:tbl>
      <w:tblPr>
        <w:tblStyle w:val="9"/>
        <w:tblW w:w="946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9"/>
        <w:gridCol w:w="2280"/>
        <w:gridCol w:w="627"/>
        <w:gridCol w:w="762"/>
        <w:gridCol w:w="809"/>
        <w:gridCol w:w="885"/>
        <w:gridCol w:w="585"/>
        <w:gridCol w:w="600"/>
        <w:gridCol w:w="600"/>
        <w:gridCol w:w="543"/>
        <w:gridCol w:w="548"/>
        <w:gridCol w:w="635"/>
      </w:tblGrid>
      <w:tr w14:paraId="21876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463" w:type="dxa"/>
            <w:gridSpan w:val="12"/>
            <w:tcBorders>
              <w:top w:val="single" w:color="auto" w:sz="4" w:space="0"/>
              <w:left w:val="single" w:color="auto" w:sz="4" w:space="0"/>
              <w:bottom w:val="nil"/>
              <w:right w:val="single" w:color="auto" w:sz="4" w:space="0"/>
            </w:tcBorders>
            <w:noWrap/>
            <w:vAlign w:val="center"/>
          </w:tcPr>
          <w:p w14:paraId="0E83394E">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火电厂热力运行与检修专业教学进程表</w:t>
            </w:r>
          </w:p>
        </w:tc>
      </w:tr>
      <w:tr w14:paraId="730F8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vMerge w:val="restart"/>
            <w:tcBorders>
              <w:top w:val="single" w:color="000000" w:sz="4" w:space="0"/>
              <w:left w:val="single" w:color="auto" w:sz="4" w:space="0"/>
              <w:bottom w:val="single" w:color="auto" w:sz="4" w:space="0"/>
              <w:right w:val="single" w:color="000000" w:sz="4" w:space="0"/>
            </w:tcBorders>
            <w:noWrap w:val="0"/>
            <w:vAlign w:val="center"/>
          </w:tcPr>
          <w:p w14:paraId="796DFC4E">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顺序</w:t>
            </w:r>
          </w:p>
        </w:tc>
        <w:tc>
          <w:tcPr>
            <w:tcW w:w="2280" w:type="dxa"/>
            <w:vMerge w:val="restart"/>
            <w:tcBorders>
              <w:top w:val="single" w:color="000000" w:sz="4" w:space="0"/>
              <w:left w:val="single" w:color="000000" w:sz="4" w:space="0"/>
              <w:bottom w:val="single" w:color="auto" w:sz="4" w:space="0"/>
              <w:right w:val="single" w:color="000000" w:sz="4" w:space="0"/>
            </w:tcBorders>
            <w:noWrap w:val="0"/>
            <w:vAlign w:val="center"/>
          </w:tcPr>
          <w:p w14:paraId="5FFCAB7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课程名称</w:t>
            </w:r>
          </w:p>
        </w:tc>
        <w:tc>
          <w:tcPr>
            <w:tcW w:w="627" w:type="dxa"/>
            <w:tcBorders>
              <w:top w:val="single" w:color="000000" w:sz="4" w:space="0"/>
              <w:left w:val="single" w:color="000000" w:sz="4" w:space="0"/>
              <w:bottom w:val="single" w:color="auto" w:sz="4" w:space="0"/>
              <w:right w:val="single" w:color="000000" w:sz="4" w:space="0"/>
            </w:tcBorders>
            <w:noWrap w:val="0"/>
            <w:vAlign w:val="center"/>
          </w:tcPr>
          <w:p w14:paraId="1061F80C">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762" w:type="dxa"/>
            <w:tcBorders>
              <w:top w:val="single" w:color="000000" w:sz="4" w:space="0"/>
              <w:left w:val="single" w:color="000000" w:sz="4" w:space="0"/>
              <w:bottom w:val="single" w:color="auto" w:sz="4" w:space="0"/>
              <w:right w:val="single" w:color="000000" w:sz="4" w:space="0"/>
            </w:tcBorders>
            <w:noWrap w:val="0"/>
            <w:vAlign w:val="center"/>
          </w:tcPr>
          <w:p w14:paraId="4B1DB6CB">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学时数</w:t>
            </w:r>
          </w:p>
        </w:tc>
        <w:tc>
          <w:tcPr>
            <w:tcW w:w="809" w:type="dxa"/>
            <w:tcBorders>
              <w:top w:val="single" w:color="000000" w:sz="4" w:space="0"/>
              <w:left w:val="single" w:color="000000" w:sz="4" w:space="0"/>
              <w:bottom w:val="single" w:color="auto" w:sz="4" w:space="0"/>
              <w:right w:val="single" w:color="000000" w:sz="4" w:space="0"/>
            </w:tcBorders>
            <w:noWrap w:val="0"/>
            <w:vAlign w:val="center"/>
          </w:tcPr>
          <w:p w14:paraId="10001526">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885" w:type="dxa"/>
            <w:tcBorders>
              <w:top w:val="single" w:color="000000" w:sz="4" w:space="0"/>
              <w:left w:val="single" w:color="000000" w:sz="4" w:space="0"/>
              <w:bottom w:val="single" w:color="auto" w:sz="4" w:space="0"/>
              <w:right w:val="single" w:color="000000" w:sz="4" w:space="0"/>
            </w:tcBorders>
            <w:noWrap w:val="0"/>
            <w:vAlign w:val="center"/>
          </w:tcPr>
          <w:p w14:paraId="6AF93953">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3511" w:type="dxa"/>
            <w:gridSpan w:val="6"/>
            <w:tcBorders>
              <w:top w:val="single" w:color="000000" w:sz="4" w:space="0"/>
              <w:left w:val="single" w:color="000000" w:sz="4" w:space="0"/>
              <w:bottom w:val="single" w:color="auto" w:sz="4" w:space="0"/>
              <w:right w:val="single" w:color="auto" w:sz="4" w:space="0"/>
            </w:tcBorders>
            <w:noWrap w:val="0"/>
            <w:vAlign w:val="center"/>
          </w:tcPr>
          <w:p w14:paraId="3A1918BB">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按学年及学期分配</w:t>
            </w:r>
          </w:p>
        </w:tc>
      </w:tr>
      <w:tr w14:paraId="54022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vMerge w:val="continue"/>
            <w:tcBorders>
              <w:top w:val="single" w:color="auto" w:sz="4" w:space="0"/>
              <w:left w:val="single" w:color="auto" w:sz="4" w:space="0"/>
              <w:bottom w:val="single" w:color="000000" w:sz="4" w:space="0"/>
              <w:right w:val="single" w:color="000000" w:sz="4" w:space="0"/>
            </w:tcBorders>
            <w:noWrap w:val="0"/>
            <w:vAlign w:val="center"/>
          </w:tcPr>
          <w:p w14:paraId="49E80FE2">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2280" w:type="dxa"/>
            <w:vMerge w:val="continue"/>
            <w:tcBorders>
              <w:top w:val="single" w:color="auto" w:sz="4" w:space="0"/>
              <w:left w:val="single" w:color="000000" w:sz="4" w:space="0"/>
              <w:bottom w:val="single" w:color="000000" w:sz="4" w:space="0"/>
              <w:right w:val="single" w:color="000000" w:sz="4" w:space="0"/>
            </w:tcBorders>
            <w:noWrap w:val="0"/>
            <w:vAlign w:val="center"/>
          </w:tcPr>
          <w:p w14:paraId="2519F208">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27" w:type="dxa"/>
            <w:vMerge w:val="restart"/>
            <w:tcBorders>
              <w:top w:val="single" w:color="auto" w:sz="4" w:space="0"/>
              <w:left w:val="single" w:color="000000" w:sz="4" w:space="0"/>
              <w:bottom w:val="single" w:color="000000" w:sz="4" w:space="0"/>
              <w:right w:val="single" w:color="000000" w:sz="4" w:space="0"/>
            </w:tcBorders>
            <w:noWrap w:val="0"/>
            <w:vAlign w:val="center"/>
          </w:tcPr>
          <w:p w14:paraId="6764C4D8">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学分</w:t>
            </w:r>
          </w:p>
        </w:tc>
        <w:tc>
          <w:tcPr>
            <w:tcW w:w="762" w:type="dxa"/>
            <w:vMerge w:val="restart"/>
            <w:tcBorders>
              <w:top w:val="single" w:color="auto" w:sz="4" w:space="0"/>
              <w:left w:val="single" w:color="000000" w:sz="4" w:space="0"/>
              <w:bottom w:val="single" w:color="000000" w:sz="4" w:space="0"/>
              <w:right w:val="single" w:color="000000" w:sz="4" w:space="0"/>
            </w:tcBorders>
            <w:noWrap w:val="0"/>
            <w:vAlign w:val="center"/>
          </w:tcPr>
          <w:p w14:paraId="0C9C270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总计</w:t>
            </w:r>
          </w:p>
        </w:tc>
        <w:tc>
          <w:tcPr>
            <w:tcW w:w="809" w:type="dxa"/>
            <w:vMerge w:val="restart"/>
            <w:tcBorders>
              <w:top w:val="single" w:color="auto" w:sz="4" w:space="0"/>
              <w:left w:val="single" w:color="000000" w:sz="4" w:space="0"/>
              <w:bottom w:val="single" w:color="000000" w:sz="4" w:space="0"/>
              <w:right w:val="single" w:color="000000" w:sz="4" w:space="0"/>
            </w:tcBorders>
            <w:noWrap w:val="0"/>
            <w:vAlign w:val="center"/>
          </w:tcPr>
          <w:p w14:paraId="3998C1A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理论</w:t>
            </w:r>
          </w:p>
        </w:tc>
        <w:tc>
          <w:tcPr>
            <w:tcW w:w="885" w:type="dxa"/>
            <w:vMerge w:val="restart"/>
            <w:tcBorders>
              <w:top w:val="single" w:color="auto" w:sz="4" w:space="0"/>
              <w:left w:val="single" w:color="000000" w:sz="4" w:space="0"/>
              <w:bottom w:val="single" w:color="000000" w:sz="4" w:space="0"/>
              <w:right w:val="single" w:color="000000" w:sz="4" w:space="0"/>
            </w:tcBorders>
            <w:noWrap w:val="0"/>
            <w:vAlign w:val="center"/>
          </w:tcPr>
          <w:p w14:paraId="04809D14">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实践</w:t>
            </w:r>
          </w:p>
        </w:tc>
        <w:tc>
          <w:tcPr>
            <w:tcW w:w="1185" w:type="dxa"/>
            <w:gridSpan w:val="2"/>
            <w:tcBorders>
              <w:top w:val="single" w:color="auto" w:sz="4" w:space="0"/>
              <w:left w:val="single" w:color="000000" w:sz="4" w:space="0"/>
              <w:bottom w:val="single" w:color="000000" w:sz="4" w:space="0"/>
              <w:right w:val="single" w:color="000000" w:sz="4" w:space="0"/>
            </w:tcBorders>
            <w:noWrap w:val="0"/>
            <w:vAlign w:val="center"/>
          </w:tcPr>
          <w:p w14:paraId="496BCCC5">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1学年</w:t>
            </w:r>
          </w:p>
        </w:tc>
        <w:tc>
          <w:tcPr>
            <w:tcW w:w="1143" w:type="dxa"/>
            <w:gridSpan w:val="2"/>
            <w:tcBorders>
              <w:top w:val="single" w:color="auto" w:sz="4" w:space="0"/>
              <w:left w:val="single" w:color="000000" w:sz="4" w:space="0"/>
              <w:bottom w:val="single" w:color="000000" w:sz="4" w:space="0"/>
              <w:right w:val="single" w:color="000000" w:sz="4" w:space="0"/>
            </w:tcBorders>
            <w:noWrap w:val="0"/>
            <w:vAlign w:val="center"/>
          </w:tcPr>
          <w:p w14:paraId="59A7CB22">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2学年</w:t>
            </w:r>
          </w:p>
        </w:tc>
        <w:tc>
          <w:tcPr>
            <w:tcW w:w="1183" w:type="dxa"/>
            <w:gridSpan w:val="2"/>
            <w:tcBorders>
              <w:top w:val="single" w:color="auto" w:sz="4" w:space="0"/>
              <w:left w:val="single" w:color="000000" w:sz="4" w:space="0"/>
              <w:bottom w:val="single" w:color="000000" w:sz="4" w:space="0"/>
              <w:right w:val="single" w:color="000000" w:sz="4" w:space="0"/>
            </w:tcBorders>
            <w:noWrap w:val="0"/>
            <w:vAlign w:val="center"/>
          </w:tcPr>
          <w:p w14:paraId="4D613F86">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3学年</w:t>
            </w:r>
          </w:p>
        </w:tc>
      </w:tr>
      <w:tr w14:paraId="0DE7E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vMerge w:val="continue"/>
            <w:tcBorders>
              <w:top w:val="single" w:color="000000" w:sz="4" w:space="0"/>
              <w:left w:val="single" w:color="auto" w:sz="4" w:space="0"/>
              <w:bottom w:val="single" w:color="000000" w:sz="4" w:space="0"/>
              <w:right w:val="single" w:color="000000" w:sz="4" w:space="0"/>
            </w:tcBorders>
            <w:noWrap w:val="0"/>
            <w:vAlign w:val="center"/>
          </w:tcPr>
          <w:p w14:paraId="6B666F22">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22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735CCB">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2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24BD10">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7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294DC4">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8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E48DEE">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8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EEFB84">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791F93E0">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1学期</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137B47ED">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2学期</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E363BD7">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3学期</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14:paraId="102EC8DE">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4学期</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35F983B4">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5学期</w:t>
            </w:r>
          </w:p>
        </w:tc>
        <w:tc>
          <w:tcPr>
            <w:tcW w:w="635" w:type="dxa"/>
            <w:tcBorders>
              <w:top w:val="single" w:color="000000" w:sz="4" w:space="0"/>
              <w:left w:val="single" w:color="000000" w:sz="4" w:space="0"/>
              <w:bottom w:val="single" w:color="000000" w:sz="4" w:space="0"/>
              <w:right w:val="single" w:color="000000" w:sz="4" w:space="0"/>
            </w:tcBorders>
            <w:noWrap w:val="0"/>
            <w:vAlign w:val="center"/>
          </w:tcPr>
          <w:p w14:paraId="4FF7238B">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6学期</w:t>
            </w:r>
          </w:p>
        </w:tc>
      </w:tr>
      <w:tr w14:paraId="7DFD2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589" w:type="dxa"/>
            <w:vMerge w:val="continue"/>
            <w:tcBorders>
              <w:top w:val="single" w:color="000000" w:sz="4" w:space="0"/>
              <w:left w:val="single" w:color="auto" w:sz="4" w:space="0"/>
              <w:bottom w:val="single" w:color="auto" w:sz="4" w:space="0"/>
              <w:right w:val="single" w:color="000000" w:sz="4" w:space="0"/>
            </w:tcBorders>
            <w:noWrap w:val="0"/>
            <w:vAlign w:val="center"/>
          </w:tcPr>
          <w:p w14:paraId="01838BED">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2280" w:type="dxa"/>
            <w:vMerge w:val="continue"/>
            <w:tcBorders>
              <w:top w:val="single" w:color="000000" w:sz="4" w:space="0"/>
              <w:left w:val="single" w:color="000000" w:sz="4" w:space="0"/>
              <w:bottom w:val="single" w:color="auto" w:sz="4" w:space="0"/>
              <w:right w:val="single" w:color="000000" w:sz="4" w:space="0"/>
            </w:tcBorders>
            <w:noWrap w:val="0"/>
            <w:vAlign w:val="center"/>
          </w:tcPr>
          <w:p w14:paraId="56C8982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2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FB074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7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7C783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8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64340">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8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2B4102">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1EDC1C08">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w:t>
            </w:r>
          </w:p>
          <w:p w14:paraId="785D96E4">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周</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77AAA6E">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w:t>
            </w:r>
          </w:p>
          <w:p w14:paraId="594A41FE">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周</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EDDE063">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18周</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14:paraId="4B4695FB">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18周</w:t>
            </w:r>
          </w:p>
        </w:tc>
        <w:tc>
          <w:tcPr>
            <w:tcW w:w="548" w:type="dxa"/>
            <w:tcBorders>
              <w:top w:val="single" w:color="000000" w:sz="4" w:space="0"/>
              <w:left w:val="single" w:color="000000" w:sz="4" w:space="0"/>
              <w:bottom w:val="nil"/>
              <w:right w:val="single" w:color="000000" w:sz="4" w:space="0"/>
            </w:tcBorders>
            <w:noWrap w:val="0"/>
            <w:vAlign w:val="center"/>
          </w:tcPr>
          <w:p w14:paraId="4BC1B424">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18周</w:t>
            </w:r>
          </w:p>
        </w:tc>
        <w:tc>
          <w:tcPr>
            <w:tcW w:w="635" w:type="dxa"/>
            <w:tcBorders>
              <w:top w:val="single" w:color="000000" w:sz="4" w:space="0"/>
              <w:left w:val="single" w:color="000000" w:sz="4" w:space="0"/>
              <w:bottom w:val="nil"/>
              <w:right w:val="single" w:color="000000" w:sz="4" w:space="0"/>
            </w:tcBorders>
            <w:noWrap w:val="0"/>
            <w:vAlign w:val="center"/>
          </w:tcPr>
          <w:p w14:paraId="3372B868">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18周</w:t>
            </w:r>
          </w:p>
        </w:tc>
      </w:tr>
      <w:tr w14:paraId="56E35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auto" w:sz="4" w:space="0"/>
              <w:left w:val="single" w:color="auto" w:sz="4" w:space="0"/>
              <w:bottom w:val="single" w:color="auto" w:sz="4" w:space="0"/>
              <w:right w:val="single" w:color="auto" w:sz="4" w:space="0"/>
            </w:tcBorders>
            <w:noWrap w:val="0"/>
            <w:vAlign w:val="center"/>
          </w:tcPr>
          <w:p w14:paraId="5D62E5F4">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48AEB6D1">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中国特色社会主义</w:t>
            </w:r>
          </w:p>
        </w:tc>
        <w:tc>
          <w:tcPr>
            <w:tcW w:w="627" w:type="dxa"/>
            <w:tcBorders>
              <w:top w:val="single" w:color="000000" w:sz="4" w:space="0"/>
              <w:left w:val="single" w:color="auto" w:sz="4" w:space="0"/>
              <w:bottom w:val="single" w:color="000000" w:sz="4" w:space="0"/>
              <w:right w:val="single" w:color="000000" w:sz="4" w:space="0"/>
            </w:tcBorders>
            <w:noWrap w:val="0"/>
            <w:vAlign w:val="center"/>
          </w:tcPr>
          <w:p w14:paraId="09DDA5CB">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99FE448">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7B8C0D01">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51F9C6C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5A5DD11D">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5CBDEEA4">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A4617D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0"/>
            <w:vAlign w:val="center"/>
          </w:tcPr>
          <w:p w14:paraId="19093950">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0F9DD475">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p>
        </w:tc>
        <w:tc>
          <w:tcPr>
            <w:tcW w:w="635" w:type="dxa"/>
            <w:vMerge w:val="restart"/>
            <w:tcBorders>
              <w:top w:val="single" w:color="000000" w:sz="4" w:space="0"/>
              <w:left w:val="single" w:color="000000" w:sz="4" w:space="0"/>
              <w:right w:val="single" w:color="000000" w:sz="4" w:space="0"/>
            </w:tcBorders>
            <w:noWrap w:val="0"/>
            <w:vAlign w:val="center"/>
          </w:tcPr>
          <w:p w14:paraId="1476C7CE">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实习</w:t>
            </w:r>
          </w:p>
        </w:tc>
      </w:tr>
      <w:tr w14:paraId="08BAF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auto" w:sz="4" w:space="0"/>
              <w:left w:val="single" w:color="auto" w:sz="4" w:space="0"/>
              <w:bottom w:val="single" w:color="auto" w:sz="4" w:space="0"/>
              <w:right w:val="single" w:color="auto" w:sz="4" w:space="0"/>
            </w:tcBorders>
            <w:noWrap w:val="0"/>
            <w:vAlign w:val="center"/>
          </w:tcPr>
          <w:p w14:paraId="471B86F2">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2280" w:type="dxa"/>
            <w:tcBorders>
              <w:top w:val="single" w:color="auto" w:sz="4" w:space="0"/>
              <w:left w:val="single" w:color="auto" w:sz="4" w:space="0"/>
              <w:bottom w:val="single" w:color="auto" w:sz="4" w:space="0"/>
              <w:right w:val="single" w:color="auto" w:sz="4" w:space="0"/>
            </w:tcBorders>
            <w:noWrap/>
            <w:vAlign w:val="center"/>
          </w:tcPr>
          <w:p w14:paraId="57BAFA06">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心理健康与职业生涯</w:t>
            </w:r>
          </w:p>
        </w:tc>
        <w:tc>
          <w:tcPr>
            <w:tcW w:w="627" w:type="dxa"/>
            <w:tcBorders>
              <w:top w:val="single" w:color="000000" w:sz="4" w:space="0"/>
              <w:left w:val="single" w:color="auto" w:sz="4" w:space="0"/>
              <w:bottom w:val="single" w:color="000000" w:sz="4" w:space="0"/>
              <w:right w:val="single" w:color="000000" w:sz="4" w:space="0"/>
            </w:tcBorders>
            <w:noWrap w:val="0"/>
            <w:vAlign w:val="center"/>
          </w:tcPr>
          <w:p w14:paraId="359B34E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00C8E5D">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7E74E82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5495B10B">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389D59A7">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33BA6D6E">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34BBBE75">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0"/>
            <w:vAlign w:val="center"/>
          </w:tcPr>
          <w:p w14:paraId="6329EF29">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0EDC1575">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26359555">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7C299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auto" w:sz="4" w:space="0"/>
              <w:left w:val="single" w:color="000000" w:sz="4" w:space="0"/>
              <w:bottom w:val="single" w:color="000000" w:sz="4" w:space="0"/>
              <w:right w:val="single" w:color="000000" w:sz="4" w:space="0"/>
            </w:tcBorders>
            <w:noWrap w:val="0"/>
            <w:vAlign w:val="center"/>
          </w:tcPr>
          <w:p w14:paraId="2817778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2280" w:type="dxa"/>
            <w:tcBorders>
              <w:top w:val="single" w:color="auto" w:sz="4" w:space="0"/>
              <w:left w:val="single" w:color="000000" w:sz="4" w:space="0"/>
              <w:bottom w:val="single" w:color="000000" w:sz="4" w:space="0"/>
              <w:right w:val="single" w:color="000000" w:sz="4" w:space="0"/>
            </w:tcBorders>
            <w:noWrap w:val="0"/>
            <w:vAlign w:val="center"/>
          </w:tcPr>
          <w:p w14:paraId="2C498636">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哲学与人生</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7554EB05">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B4813C0">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B673402">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0C8FB20B">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6E6E9A8D">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3714A8E2">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B4468E6">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543" w:type="dxa"/>
            <w:tcBorders>
              <w:top w:val="single" w:color="000000" w:sz="4" w:space="0"/>
              <w:left w:val="single" w:color="000000" w:sz="4" w:space="0"/>
              <w:bottom w:val="single" w:color="000000" w:sz="4" w:space="0"/>
              <w:right w:val="nil"/>
            </w:tcBorders>
            <w:noWrap w:val="0"/>
            <w:vAlign w:val="center"/>
          </w:tcPr>
          <w:p w14:paraId="4B302C8D">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1FC9D0F3">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703DB7E5">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01887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2CF6598E">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77F70F36">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职业道德与法治</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3BD67CB9">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C0221A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2C7CD9D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98C2668">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778D017E">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3C8FC3F2">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155CE329">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0"/>
            <w:vAlign w:val="center"/>
          </w:tcPr>
          <w:p w14:paraId="57F63CAB">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5EBD706B">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585627B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23BDE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54CF59BB">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6788D68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语文</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423245D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35A23A9">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E6F4FB7">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144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5287125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45608C0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134BD0C2">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C0329C3">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3" w:type="dxa"/>
            <w:tcBorders>
              <w:top w:val="single" w:color="000000" w:sz="4" w:space="0"/>
              <w:left w:val="single" w:color="000000" w:sz="4" w:space="0"/>
              <w:bottom w:val="single" w:color="000000" w:sz="4" w:space="0"/>
              <w:right w:val="nil"/>
            </w:tcBorders>
            <w:noWrap w:val="0"/>
            <w:vAlign w:val="center"/>
          </w:tcPr>
          <w:p w14:paraId="4F9B459F">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092B4AEC">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7550AB06">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79592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3D17828E">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249C8F1E">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数学</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5CA113C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5D5FBBD">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30390F0">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AAE4BA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26EE83CB">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7F0AA0B">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6724D03">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3" w:type="dxa"/>
            <w:tcBorders>
              <w:top w:val="single" w:color="000000" w:sz="4" w:space="0"/>
              <w:left w:val="single" w:color="000000" w:sz="4" w:space="0"/>
              <w:bottom w:val="single" w:color="000000" w:sz="4" w:space="0"/>
              <w:right w:val="nil"/>
            </w:tcBorders>
            <w:noWrap w:val="0"/>
            <w:vAlign w:val="center"/>
          </w:tcPr>
          <w:p w14:paraId="6B3BD9E9">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5880E9BB">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3D92E2D4">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26C24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44054ED5">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5DDF30CE">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英语</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781B9230">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5B5057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1543314">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340A8019">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230B75E8">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187F29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45EA13EE">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3" w:type="dxa"/>
            <w:tcBorders>
              <w:top w:val="single" w:color="000000" w:sz="4" w:space="0"/>
              <w:left w:val="single" w:color="000000" w:sz="4" w:space="0"/>
              <w:bottom w:val="single" w:color="000000" w:sz="4" w:space="0"/>
              <w:right w:val="nil"/>
            </w:tcBorders>
            <w:noWrap w:val="0"/>
            <w:vAlign w:val="center"/>
          </w:tcPr>
          <w:p w14:paraId="484AE27D">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4AC02B6C">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1317822A">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3CDE4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789E3D2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78130496">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信息技术</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6EFF8B50">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77C6E51">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316AAC06">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50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53BA571B">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58</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28C4BBF4">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01DA3A2">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447D0363">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543" w:type="dxa"/>
            <w:tcBorders>
              <w:top w:val="single" w:color="000000" w:sz="4" w:space="0"/>
              <w:left w:val="single" w:color="000000" w:sz="4" w:space="0"/>
              <w:bottom w:val="single" w:color="000000" w:sz="4" w:space="0"/>
              <w:right w:val="nil"/>
            </w:tcBorders>
            <w:noWrap w:val="0"/>
            <w:vAlign w:val="center"/>
          </w:tcPr>
          <w:p w14:paraId="482521C7">
            <w:pPr>
              <w:pageBreakBefore w:val="0"/>
              <w:widowControl w:val="0"/>
              <w:wordWrap/>
              <w:overflowPunct/>
              <w:topLinePunct w:val="0"/>
              <w:bidi w:val="0"/>
              <w:jc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1</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0C255EF1">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35" w:type="dxa"/>
            <w:vMerge w:val="continue"/>
            <w:tcBorders>
              <w:left w:val="single" w:color="000000" w:sz="4" w:space="0"/>
              <w:right w:val="single" w:color="000000" w:sz="4" w:space="0"/>
            </w:tcBorders>
            <w:noWrap w:val="0"/>
            <w:vAlign w:val="center"/>
          </w:tcPr>
          <w:p w14:paraId="45D6E7E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78C8A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73E9B97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31DF081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体育与健康</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1064809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E7C0D40">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307270E6">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24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6B6BC9D6">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120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19F95B23">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5E6F2961">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F11B09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543" w:type="dxa"/>
            <w:tcBorders>
              <w:top w:val="single" w:color="000000" w:sz="4" w:space="0"/>
              <w:left w:val="single" w:color="000000" w:sz="4" w:space="0"/>
              <w:bottom w:val="single" w:color="000000" w:sz="4" w:space="0"/>
              <w:right w:val="nil"/>
            </w:tcBorders>
            <w:noWrap w:val="0"/>
            <w:vAlign w:val="center"/>
          </w:tcPr>
          <w:p w14:paraId="6DB02A20">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440BD10E">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1</w:t>
            </w:r>
          </w:p>
        </w:tc>
        <w:tc>
          <w:tcPr>
            <w:tcW w:w="635" w:type="dxa"/>
            <w:vMerge w:val="continue"/>
            <w:tcBorders>
              <w:left w:val="single" w:color="000000" w:sz="4" w:space="0"/>
              <w:right w:val="single" w:color="000000" w:sz="4" w:space="0"/>
            </w:tcBorders>
            <w:noWrap w:val="0"/>
            <w:vAlign w:val="center"/>
          </w:tcPr>
          <w:p w14:paraId="4115FE14">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5C759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5743BF3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2A342AD0">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历史</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2AC0FB1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D0C80C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72</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68011D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72</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7812E51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6BF72794">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3A03FA1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2FE4FC3">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0"/>
            <w:vAlign w:val="center"/>
          </w:tcPr>
          <w:p w14:paraId="5CBF1622">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1881BADB">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34B154B2">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7D259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68B28169">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11</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5A708382">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美术</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5E98E7BD">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CC38AE5">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1400A605">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144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A395762">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28270C3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9978706">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5E9B4810">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543" w:type="dxa"/>
            <w:tcBorders>
              <w:top w:val="single" w:color="000000" w:sz="4" w:space="0"/>
              <w:left w:val="single" w:color="000000" w:sz="4" w:space="0"/>
              <w:bottom w:val="single" w:color="000000" w:sz="4" w:space="0"/>
              <w:right w:val="nil"/>
            </w:tcBorders>
            <w:noWrap w:val="0"/>
            <w:vAlign w:val="center"/>
          </w:tcPr>
          <w:p w14:paraId="006AF70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2A856EE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val="en-US" w:eastAsia="zh-CN"/>
              </w:rPr>
              <w:t>1</w:t>
            </w:r>
          </w:p>
        </w:tc>
        <w:tc>
          <w:tcPr>
            <w:tcW w:w="635" w:type="dxa"/>
            <w:vMerge w:val="continue"/>
            <w:tcBorders>
              <w:left w:val="single" w:color="000000" w:sz="4" w:space="0"/>
              <w:right w:val="single" w:color="000000" w:sz="4" w:space="0"/>
            </w:tcBorders>
            <w:noWrap w:val="0"/>
            <w:vAlign w:val="center"/>
          </w:tcPr>
          <w:p w14:paraId="07D79F34">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651DF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6EDA5938">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12</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0880B419">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安全</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466E3D38">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FCE1907">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90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20B21BD9">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90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7CD4756">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5E695448">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8093C67">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9DB1CF5">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w:t>
            </w:r>
          </w:p>
        </w:tc>
        <w:tc>
          <w:tcPr>
            <w:tcW w:w="543" w:type="dxa"/>
            <w:tcBorders>
              <w:top w:val="single" w:color="000000" w:sz="4" w:space="0"/>
              <w:left w:val="single" w:color="000000" w:sz="4" w:space="0"/>
              <w:bottom w:val="single" w:color="000000" w:sz="4" w:space="0"/>
              <w:right w:val="nil"/>
            </w:tcBorders>
            <w:noWrap w:val="0"/>
            <w:vAlign w:val="center"/>
          </w:tcPr>
          <w:p w14:paraId="22185FD8">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25A075A2">
            <w:pPr>
              <w:pageBreakBefore w:val="0"/>
              <w:widowControl w:val="0"/>
              <w:wordWrap/>
              <w:overflowPunct/>
              <w:topLinePunct w:val="0"/>
              <w:bidi w:val="0"/>
              <w:jc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1</w:t>
            </w:r>
          </w:p>
        </w:tc>
        <w:tc>
          <w:tcPr>
            <w:tcW w:w="635" w:type="dxa"/>
            <w:vMerge w:val="continue"/>
            <w:tcBorders>
              <w:left w:val="single" w:color="000000" w:sz="4" w:space="0"/>
              <w:right w:val="single" w:color="000000" w:sz="4" w:space="0"/>
            </w:tcBorders>
            <w:noWrap w:val="0"/>
            <w:vAlign w:val="center"/>
          </w:tcPr>
          <w:p w14:paraId="6C3DC973">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18B83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7F7C0ED9">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13</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3ED67F0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劳动教育</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23AC556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72D2E23">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38224EC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53FB2514">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7CDA82D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765F4CD">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DE0B299">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0"/>
            <w:vAlign w:val="center"/>
          </w:tcPr>
          <w:p w14:paraId="346B2E5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44A9682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60D27FCD">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0E8EB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01585D33">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1D31BEEB">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机械制图</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50290AFD">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CBF8C90">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656FED1">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2725F9FC">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8</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115A2F3B">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74B46D04">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1EEB5BE">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ign w:val="center"/>
          </w:tcPr>
          <w:p w14:paraId="64CCC0DD">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6DBF37AE">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24B0A52B">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5C3B4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08B0F1D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36BC92D0">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机械基础</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5D34F2D1">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64D699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25C6905">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144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78FA7FA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5CCA7735">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0B65B58">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F685CAB">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ign w:val="center"/>
          </w:tcPr>
          <w:p w14:paraId="477ACAE5">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21778F58">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6E150975">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0CAA6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2CDA66F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7EA1117E">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电工基础</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23E0A2B5">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8C7D74A">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3808988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2CEF5EB5">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1C490CFD">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70085016">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4BA051C">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3" w:type="dxa"/>
            <w:tcBorders>
              <w:top w:val="single" w:color="000000" w:sz="4" w:space="0"/>
              <w:left w:val="single" w:color="000000" w:sz="4" w:space="0"/>
              <w:bottom w:val="single" w:color="000000" w:sz="4" w:space="0"/>
              <w:right w:val="nil"/>
            </w:tcBorders>
            <w:noWrap/>
            <w:vAlign w:val="center"/>
          </w:tcPr>
          <w:p w14:paraId="04231DAE">
            <w:pPr>
              <w:pageBreakBefore w:val="0"/>
              <w:widowControl w:val="0"/>
              <w:wordWrap/>
              <w:overflowPunct/>
              <w:topLinePunct w:val="0"/>
              <w:bidi w:val="0"/>
              <w:jc w:val="center"/>
              <w:rPr>
                <w:rFonts w:hint="default" w:ascii="仿宋" w:hAnsi="仿宋" w:eastAsia="仿宋" w:cs="仿宋"/>
                <w:i w:val="0"/>
                <w:iCs w:val="0"/>
                <w:color w:val="auto"/>
                <w:sz w:val="24"/>
                <w:szCs w:val="24"/>
                <w:u w:val="none"/>
                <w:lang w:val="en-US" w:eastAsia="zh-CN"/>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1890B54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287166D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17741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2C34B535">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17</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6282ED97">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电气设备与运行</w:t>
            </w:r>
          </w:p>
          <w:p w14:paraId="00155B0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251D4FDE">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A6BC918">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11662059">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90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99CFC63">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23BD6775">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287BC85">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327E83C8">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543" w:type="dxa"/>
            <w:tcBorders>
              <w:top w:val="single" w:color="000000" w:sz="4" w:space="0"/>
              <w:left w:val="single" w:color="000000" w:sz="4" w:space="0"/>
              <w:bottom w:val="single" w:color="000000" w:sz="4" w:space="0"/>
              <w:right w:val="nil"/>
            </w:tcBorders>
            <w:noWrap/>
            <w:vAlign w:val="center"/>
          </w:tcPr>
          <w:p w14:paraId="3C97D9FD">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28D4ED7E">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635" w:type="dxa"/>
            <w:vMerge w:val="continue"/>
            <w:tcBorders>
              <w:left w:val="single" w:color="000000" w:sz="4" w:space="0"/>
              <w:right w:val="single" w:color="000000" w:sz="4" w:space="0"/>
            </w:tcBorders>
            <w:noWrap w:val="0"/>
            <w:vAlign w:val="center"/>
          </w:tcPr>
          <w:p w14:paraId="4634F7D8">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5F11F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29AD9C08">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18</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1C8A1430">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default" w:ascii="仿宋" w:hAnsi="仿宋" w:eastAsia="仿宋" w:cs="仿宋"/>
                <w:i w:val="0"/>
                <w:iCs w:val="0"/>
                <w:color w:val="auto"/>
                <w:kern w:val="0"/>
                <w:sz w:val="24"/>
                <w:szCs w:val="24"/>
                <w:u w:val="none"/>
                <w:lang w:val="en-US" w:eastAsia="zh-CN" w:bidi="ar"/>
              </w:rPr>
              <w:t>锅炉设备运行与检修</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1887F5C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AD2B7DC">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3FA4E4D1">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E1671F9">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1BD136AA">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DF5B460">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ED9EE4D">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ign w:val="center"/>
          </w:tcPr>
          <w:p w14:paraId="15588D8D">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51C765C6">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35" w:type="dxa"/>
            <w:vMerge w:val="continue"/>
            <w:tcBorders>
              <w:left w:val="single" w:color="000000" w:sz="4" w:space="0"/>
              <w:right w:val="single" w:color="000000" w:sz="4" w:space="0"/>
            </w:tcBorders>
            <w:noWrap w:val="0"/>
            <w:vAlign w:val="center"/>
          </w:tcPr>
          <w:p w14:paraId="4F468A95">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7FF6D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43F4FB2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19</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45006B5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default" w:ascii="仿宋" w:hAnsi="仿宋" w:eastAsia="仿宋" w:cs="仿宋"/>
                <w:i w:val="0"/>
                <w:iCs w:val="0"/>
                <w:color w:val="auto"/>
                <w:kern w:val="0"/>
                <w:sz w:val="24"/>
                <w:szCs w:val="24"/>
                <w:u w:val="none"/>
                <w:lang w:val="en-US" w:eastAsia="zh-CN" w:bidi="ar"/>
              </w:rPr>
              <w:t>发电厂集控运行</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134911CE">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8C15F03">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1E8F6AB3">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BF2711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5B14E00B">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1D786A84">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7FF72D4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3" w:type="dxa"/>
            <w:tcBorders>
              <w:top w:val="single" w:color="000000" w:sz="4" w:space="0"/>
              <w:left w:val="single" w:color="000000" w:sz="4" w:space="0"/>
              <w:bottom w:val="single" w:color="000000" w:sz="4" w:space="0"/>
              <w:right w:val="nil"/>
            </w:tcBorders>
            <w:noWrap/>
            <w:vAlign w:val="center"/>
          </w:tcPr>
          <w:p w14:paraId="4EADC2DF">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64C48F61">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14:paraId="19D832A8">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19DA0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18159F11">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20</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0D4D6C48">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电厂汽轮机运行</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7ED548A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BF7E897">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018D31A">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80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0179F31F">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28</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532612C7">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732F77BD">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10AE787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ign w:val="center"/>
          </w:tcPr>
          <w:p w14:paraId="4DEC27D5">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688F290A">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35" w:type="dxa"/>
            <w:vMerge w:val="continue"/>
            <w:tcBorders>
              <w:left w:val="single" w:color="000000" w:sz="4" w:space="0"/>
              <w:right w:val="single" w:color="000000" w:sz="4" w:space="0"/>
            </w:tcBorders>
            <w:noWrap w:val="0"/>
            <w:vAlign w:val="center"/>
          </w:tcPr>
          <w:p w14:paraId="1ED98242">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555CA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5EA2560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21</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14:paraId="0BD5AE83">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热力过程自动化</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7CDBCA54">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0CA7CEF">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708115C">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40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70132810">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68</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14:paraId="775A9B9B">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4BE95F47">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E0A2215">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543" w:type="dxa"/>
            <w:tcBorders>
              <w:top w:val="single" w:color="000000" w:sz="4" w:space="0"/>
              <w:left w:val="single" w:color="000000" w:sz="4" w:space="0"/>
              <w:bottom w:val="single" w:color="000000" w:sz="4" w:space="0"/>
              <w:right w:val="nil"/>
            </w:tcBorders>
            <w:noWrap/>
            <w:vAlign w:val="center"/>
          </w:tcPr>
          <w:p w14:paraId="7FF4E32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1CB17D11">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35" w:type="dxa"/>
            <w:vMerge w:val="continue"/>
            <w:tcBorders>
              <w:left w:val="single" w:color="000000" w:sz="4" w:space="0"/>
              <w:right w:val="single" w:color="000000" w:sz="4" w:space="0"/>
            </w:tcBorders>
            <w:noWrap w:val="0"/>
            <w:vAlign w:val="center"/>
          </w:tcPr>
          <w:p w14:paraId="26D3AED9">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6FAC0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4E553B40">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22</w:t>
            </w:r>
          </w:p>
        </w:tc>
        <w:tc>
          <w:tcPr>
            <w:tcW w:w="2280" w:type="dxa"/>
            <w:tcBorders>
              <w:top w:val="single" w:color="000000" w:sz="4" w:space="0"/>
              <w:left w:val="single" w:color="000000" w:sz="4" w:space="0"/>
              <w:bottom w:val="single" w:color="000000" w:sz="4" w:space="0"/>
              <w:right w:val="single" w:color="000000" w:sz="4" w:space="0"/>
            </w:tcBorders>
            <w:noWrap/>
            <w:vAlign w:val="center"/>
          </w:tcPr>
          <w:p w14:paraId="658581AA">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泵与风机</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5AEB7AC1">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A4D2D4C">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717100E1">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40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31C52E12">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104</w:t>
            </w:r>
          </w:p>
        </w:tc>
        <w:tc>
          <w:tcPr>
            <w:tcW w:w="585" w:type="dxa"/>
            <w:tcBorders>
              <w:top w:val="single" w:color="000000" w:sz="4" w:space="0"/>
              <w:left w:val="single" w:color="000000" w:sz="4" w:space="0"/>
              <w:bottom w:val="single" w:color="000000" w:sz="4" w:space="0"/>
              <w:right w:val="single" w:color="000000" w:sz="4" w:space="0"/>
            </w:tcBorders>
            <w:noWrap/>
            <w:vAlign w:val="center"/>
          </w:tcPr>
          <w:p w14:paraId="6391A830">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1F687B2B">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2EBEB32E">
            <w:pPr>
              <w:pageBreakBefore w:val="0"/>
              <w:widowControl w:val="0"/>
              <w:wordWrap/>
              <w:overflowPunct/>
              <w:topLinePunct w:val="0"/>
              <w:bidi w:val="0"/>
              <w:jc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4</w:t>
            </w:r>
          </w:p>
        </w:tc>
        <w:tc>
          <w:tcPr>
            <w:tcW w:w="543" w:type="dxa"/>
            <w:tcBorders>
              <w:top w:val="single" w:color="000000" w:sz="4" w:space="0"/>
              <w:left w:val="single" w:color="000000" w:sz="4" w:space="0"/>
              <w:bottom w:val="single" w:color="000000" w:sz="4" w:space="0"/>
              <w:right w:val="nil"/>
            </w:tcBorders>
            <w:noWrap/>
            <w:vAlign w:val="center"/>
          </w:tcPr>
          <w:p w14:paraId="73C82332">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4</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6CC2443F">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35" w:type="dxa"/>
            <w:vMerge w:val="continue"/>
            <w:tcBorders>
              <w:left w:val="single" w:color="000000" w:sz="4" w:space="0"/>
              <w:right w:val="single" w:color="000000" w:sz="4" w:space="0"/>
            </w:tcBorders>
            <w:noWrap w:val="0"/>
            <w:vAlign w:val="center"/>
          </w:tcPr>
          <w:p w14:paraId="1E1B421D">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639F4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40653F4F">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23</w:t>
            </w:r>
          </w:p>
        </w:tc>
        <w:tc>
          <w:tcPr>
            <w:tcW w:w="2280" w:type="dxa"/>
            <w:tcBorders>
              <w:top w:val="single" w:color="000000" w:sz="4" w:space="0"/>
              <w:left w:val="single" w:color="000000" w:sz="4" w:space="0"/>
              <w:bottom w:val="single" w:color="000000" w:sz="4" w:space="0"/>
              <w:right w:val="single" w:color="000000" w:sz="4" w:space="0"/>
            </w:tcBorders>
            <w:noWrap/>
            <w:vAlign w:val="center"/>
          </w:tcPr>
          <w:p w14:paraId="2837E483">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单元机组运行</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7A99464E">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E732AE1">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2CF1AD98">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2CAD827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ign w:val="center"/>
          </w:tcPr>
          <w:p w14:paraId="522701D2">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5AF7401B">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0E604C05">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ign w:val="center"/>
          </w:tcPr>
          <w:p w14:paraId="6097470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05520E8E">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35" w:type="dxa"/>
            <w:vMerge w:val="continue"/>
            <w:tcBorders>
              <w:left w:val="single" w:color="000000" w:sz="4" w:space="0"/>
              <w:right w:val="single" w:color="000000" w:sz="4" w:space="0"/>
            </w:tcBorders>
            <w:noWrap w:val="0"/>
            <w:vAlign w:val="center"/>
          </w:tcPr>
          <w:p w14:paraId="0884F53F">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20E5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14:paraId="5C94B521">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24</w:t>
            </w:r>
          </w:p>
        </w:tc>
        <w:tc>
          <w:tcPr>
            <w:tcW w:w="2280" w:type="dxa"/>
            <w:tcBorders>
              <w:top w:val="single" w:color="000000" w:sz="4" w:space="0"/>
              <w:left w:val="single" w:color="000000" w:sz="4" w:space="0"/>
              <w:bottom w:val="nil"/>
              <w:right w:val="single" w:color="000000" w:sz="4" w:space="0"/>
            </w:tcBorders>
            <w:noWrap w:val="0"/>
            <w:vAlign w:val="center"/>
          </w:tcPr>
          <w:p w14:paraId="0F7ED2F4">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热力设备检修基础工艺</w:t>
            </w:r>
          </w:p>
        </w:tc>
        <w:tc>
          <w:tcPr>
            <w:tcW w:w="627" w:type="dxa"/>
            <w:tcBorders>
              <w:top w:val="single" w:color="000000" w:sz="4" w:space="0"/>
              <w:left w:val="single" w:color="000000" w:sz="4" w:space="0"/>
              <w:bottom w:val="nil"/>
              <w:right w:val="single" w:color="000000" w:sz="4" w:space="0"/>
            </w:tcBorders>
            <w:noWrap w:val="0"/>
            <w:vAlign w:val="center"/>
          </w:tcPr>
          <w:p w14:paraId="6010FC80">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nil"/>
              <w:right w:val="single" w:color="000000" w:sz="4" w:space="0"/>
            </w:tcBorders>
            <w:noWrap w:val="0"/>
            <w:vAlign w:val="center"/>
          </w:tcPr>
          <w:p w14:paraId="7E442EA7">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nil"/>
              <w:right w:val="single" w:color="000000" w:sz="4" w:space="0"/>
            </w:tcBorders>
            <w:noWrap w:val="0"/>
            <w:vAlign w:val="center"/>
          </w:tcPr>
          <w:p w14:paraId="7D5199AF">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80</w:t>
            </w:r>
          </w:p>
        </w:tc>
        <w:tc>
          <w:tcPr>
            <w:tcW w:w="885" w:type="dxa"/>
            <w:tcBorders>
              <w:top w:val="single" w:color="000000" w:sz="4" w:space="0"/>
              <w:left w:val="single" w:color="000000" w:sz="4" w:space="0"/>
              <w:bottom w:val="nil"/>
              <w:right w:val="single" w:color="000000" w:sz="4" w:space="0"/>
            </w:tcBorders>
            <w:noWrap w:val="0"/>
            <w:vAlign w:val="center"/>
          </w:tcPr>
          <w:p w14:paraId="1098CAAD">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28</w:t>
            </w:r>
          </w:p>
        </w:tc>
        <w:tc>
          <w:tcPr>
            <w:tcW w:w="585" w:type="dxa"/>
            <w:tcBorders>
              <w:top w:val="single" w:color="000000" w:sz="4" w:space="0"/>
              <w:left w:val="single" w:color="000000" w:sz="4" w:space="0"/>
              <w:bottom w:val="nil"/>
              <w:right w:val="single" w:color="000000" w:sz="4" w:space="0"/>
            </w:tcBorders>
            <w:noWrap w:val="0"/>
            <w:vAlign w:val="center"/>
          </w:tcPr>
          <w:p w14:paraId="77F34999">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nil"/>
              <w:right w:val="single" w:color="000000" w:sz="4" w:space="0"/>
            </w:tcBorders>
            <w:noWrap w:val="0"/>
            <w:vAlign w:val="center"/>
          </w:tcPr>
          <w:p w14:paraId="5A2F43EF">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00" w:type="dxa"/>
            <w:tcBorders>
              <w:top w:val="single" w:color="000000" w:sz="4" w:space="0"/>
              <w:left w:val="single" w:color="000000" w:sz="4" w:space="0"/>
              <w:bottom w:val="nil"/>
              <w:right w:val="single" w:color="000000" w:sz="4" w:space="0"/>
            </w:tcBorders>
            <w:noWrap w:val="0"/>
            <w:vAlign w:val="center"/>
          </w:tcPr>
          <w:p w14:paraId="7D309FA6">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543" w:type="dxa"/>
            <w:tcBorders>
              <w:top w:val="nil"/>
              <w:left w:val="nil"/>
              <w:bottom w:val="nil"/>
              <w:right w:val="nil"/>
            </w:tcBorders>
            <w:noWrap/>
            <w:vAlign w:val="center"/>
          </w:tcPr>
          <w:p w14:paraId="159AC71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3A1E1AD2">
            <w:pPr>
              <w:pageBreakBefore w:val="0"/>
              <w:widowControl w:val="0"/>
              <w:wordWrap/>
              <w:overflowPunct/>
              <w:topLinePunct w:val="0"/>
              <w:bidi w:val="0"/>
              <w:jc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35" w:type="dxa"/>
            <w:vMerge w:val="continue"/>
            <w:tcBorders>
              <w:left w:val="single" w:color="000000" w:sz="4" w:space="0"/>
              <w:right w:val="single" w:color="000000" w:sz="4" w:space="0"/>
            </w:tcBorders>
            <w:noWrap w:val="0"/>
            <w:vAlign w:val="center"/>
          </w:tcPr>
          <w:p w14:paraId="52B0499A">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0C3A8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nil"/>
            </w:tcBorders>
            <w:noWrap w:val="0"/>
            <w:vAlign w:val="center"/>
          </w:tcPr>
          <w:p w14:paraId="0A005159">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w:t>
            </w:r>
          </w:p>
        </w:tc>
        <w:tc>
          <w:tcPr>
            <w:tcW w:w="2280" w:type="dxa"/>
            <w:tcBorders>
              <w:top w:val="single" w:color="000000" w:sz="4" w:space="0"/>
              <w:left w:val="single" w:color="000000" w:sz="4" w:space="0"/>
              <w:bottom w:val="single" w:color="000000" w:sz="4" w:space="0"/>
              <w:right w:val="single" w:color="000000" w:sz="4" w:space="0"/>
            </w:tcBorders>
            <w:noWrap/>
            <w:vAlign w:val="center"/>
          </w:tcPr>
          <w:p w14:paraId="4E31CEBF">
            <w:pPr>
              <w:keepNext w:val="0"/>
              <w:keepLines w:val="0"/>
              <w:pageBreakBefore w:val="0"/>
              <w:widowControl w:val="0"/>
              <w:suppressLineNumbers w:val="0"/>
              <w:kinsoku/>
              <w:wordWrap/>
              <w:overflowPunct/>
              <w:topLinePunct w:val="0"/>
              <w:bidi w:val="0"/>
              <w:spacing w:line="560" w:lineRule="exact"/>
              <w:ind w:left="0" w:leftChars="0" w:right="0" w:rightChars="0" w:firstLine="480" w:firstLineChars="20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热力学基础</w:t>
            </w:r>
          </w:p>
        </w:tc>
        <w:tc>
          <w:tcPr>
            <w:tcW w:w="627" w:type="dxa"/>
            <w:tcBorders>
              <w:top w:val="single" w:color="000000" w:sz="4" w:space="0"/>
              <w:left w:val="single" w:color="000000" w:sz="4" w:space="0"/>
              <w:bottom w:val="single" w:color="000000" w:sz="4" w:space="0"/>
              <w:right w:val="single" w:color="000000" w:sz="4" w:space="0"/>
            </w:tcBorders>
            <w:noWrap/>
            <w:vAlign w:val="center"/>
          </w:tcPr>
          <w:p w14:paraId="7F578EEC">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ign w:val="center"/>
          </w:tcPr>
          <w:p w14:paraId="49699770">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ign w:val="center"/>
          </w:tcPr>
          <w:p w14:paraId="2A742A57">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75E77330">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80</w:t>
            </w:r>
          </w:p>
        </w:tc>
        <w:tc>
          <w:tcPr>
            <w:tcW w:w="585" w:type="dxa"/>
            <w:tcBorders>
              <w:top w:val="single" w:color="000000" w:sz="4" w:space="0"/>
              <w:left w:val="single" w:color="000000" w:sz="4" w:space="0"/>
              <w:bottom w:val="single" w:color="000000" w:sz="4" w:space="0"/>
              <w:right w:val="single" w:color="000000" w:sz="4" w:space="0"/>
            </w:tcBorders>
            <w:noWrap/>
            <w:vAlign w:val="center"/>
          </w:tcPr>
          <w:p w14:paraId="1F1857AD">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694E6884">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4EADE853">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543" w:type="dxa"/>
            <w:tcBorders>
              <w:top w:val="single" w:color="000000" w:sz="4" w:space="0"/>
              <w:left w:val="single" w:color="000000" w:sz="4" w:space="0"/>
              <w:bottom w:val="single" w:color="000000" w:sz="4" w:space="0"/>
              <w:right w:val="single" w:color="000000" w:sz="4" w:space="0"/>
            </w:tcBorders>
            <w:noWrap/>
            <w:vAlign w:val="center"/>
          </w:tcPr>
          <w:p w14:paraId="163E429B">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5CDBD4E6">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35" w:type="dxa"/>
            <w:vMerge w:val="continue"/>
            <w:tcBorders>
              <w:left w:val="single" w:color="000000" w:sz="4" w:space="0"/>
              <w:bottom w:val="single" w:color="000000" w:sz="4" w:space="0"/>
              <w:right w:val="single" w:color="000000" w:sz="4" w:space="0"/>
            </w:tcBorders>
            <w:noWrap w:val="0"/>
            <w:vAlign w:val="center"/>
          </w:tcPr>
          <w:p w14:paraId="34F95B95">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14:paraId="13A22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2869" w:type="dxa"/>
            <w:gridSpan w:val="2"/>
            <w:tcBorders>
              <w:top w:val="single" w:color="000000" w:sz="4" w:space="0"/>
              <w:left w:val="single" w:color="000000" w:sz="4" w:space="0"/>
              <w:bottom w:val="single" w:color="000000" w:sz="4" w:space="0"/>
              <w:right w:val="single" w:color="000000" w:sz="4" w:space="0"/>
            </w:tcBorders>
            <w:noWrap w:val="0"/>
            <w:vAlign w:val="center"/>
          </w:tcPr>
          <w:p w14:paraId="40DFAAF7">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总学时及周学时</w:t>
            </w:r>
          </w:p>
        </w:tc>
        <w:tc>
          <w:tcPr>
            <w:tcW w:w="627" w:type="dxa"/>
            <w:tcBorders>
              <w:top w:val="nil"/>
              <w:left w:val="single" w:color="000000" w:sz="4" w:space="0"/>
              <w:bottom w:val="single" w:color="000000" w:sz="4" w:space="0"/>
              <w:right w:val="single" w:color="000000" w:sz="4" w:space="0"/>
            </w:tcBorders>
            <w:noWrap w:val="0"/>
            <w:vAlign w:val="center"/>
          </w:tcPr>
          <w:p w14:paraId="2EEA056C">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142</w:t>
            </w:r>
          </w:p>
        </w:tc>
        <w:tc>
          <w:tcPr>
            <w:tcW w:w="762" w:type="dxa"/>
            <w:tcBorders>
              <w:top w:val="nil"/>
              <w:left w:val="single" w:color="000000" w:sz="4" w:space="0"/>
              <w:bottom w:val="single" w:color="000000" w:sz="4" w:space="0"/>
              <w:right w:val="single" w:color="000000" w:sz="4" w:space="0"/>
            </w:tcBorders>
            <w:noWrap w:val="0"/>
            <w:vAlign w:val="center"/>
          </w:tcPr>
          <w:p w14:paraId="3859B5C1">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2556</w:t>
            </w:r>
          </w:p>
        </w:tc>
        <w:tc>
          <w:tcPr>
            <w:tcW w:w="809" w:type="dxa"/>
            <w:tcBorders>
              <w:top w:val="nil"/>
              <w:left w:val="single" w:color="000000" w:sz="4" w:space="0"/>
              <w:bottom w:val="single" w:color="000000" w:sz="4" w:space="0"/>
              <w:right w:val="single" w:color="000000" w:sz="4" w:space="0"/>
            </w:tcBorders>
            <w:noWrap w:val="0"/>
            <w:vAlign w:val="center"/>
          </w:tcPr>
          <w:p w14:paraId="0CA1FB8F">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1990</w:t>
            </w:r>
          </w:p>
        </w:tc>
        <w:tc>
          <w:tcPr>
            <w:tcW w:w="885" w:type="dxa"/>
            <w:tcBorders>
              <w:top w:val="nil"/>
              <w:left w:val="single" w:color="000000" w:sz="4" w:space="0"/>
              <w:bottom w:val="single" w:color="000000" w:sz="4" w:space="0"/>
              <w:right w:val="single" w:color="000000" w:sz="4" w:space="0"/>
            </w:tcBorders>
            <w:noWrap w:val="0"/>
            <w:vAlign w:val="center"/>
          </w:tcPr>
          <w:p w14:paraId="7453302F">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566</w:t>
            </w:r>
          </w:p>
        </w:tc>
        <w:tc>
          <w:tcPr>
            <w:tcW w:w="585" w:type="dxa"/>
            <w:tcBorders>
              <w:top w:val="nil"/>
              <w:left w:val="single" w:color="000000" w:sz="4" w:space="0"/>
              <w:bottom w:val="single" w:color="000000" w:sz="4" w:space="0"/>
              <w:right w:val="single" w:color="000000" w:sz="4" w:space="0"/>
            </w:tcBorders>
            <w:noWrap w:val="0"/>
            <w:vAlign w:val="center"/>
          </w:tcPr>
          <w:p w14:paraId="543C9795">
            <w:pPr>
              <w:keepNext w:val="0"/>
              <w:keepLines w:val="0"/>
              <w:pageBreakBefore w:val="0"/>
              <w:widowControl w:val="0"/>
              <w:suppressLineNumbers w:val="0"/>
              <w:wordWrap/>
              <w:overflowPunct/>
              <w:topLinePunct w:val="0"/>
              <w:bidi w:val="0"/>
              <w:jc w:val="center"/>
              <w:textAlignment w:val="top"/>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24</w:t>
            </w:r>
          </w:p>
        </w:tc>
        <w:tc>
          <w:tcPr>
            <w:tcW w:w="600" w:type="dxa"/>
            <w:tcBorders>
              <w:top w:val="nil"/>
              <w:left w:val="single" w:color="000000" w:sz="4" w:space="0"/>
              <w:bottom w:val="single" w:color="000000" w:sz="4" w:space="0"/>
              <w:right w:val="single" w:color="000000" w:sz="4" w:space="0"/>
            </w:tcBorders>
            <w:noWrap w:val="0"/>
            <w:vAlign w:val="center"/>
          </w:tcPr>
          <w:p w14:paraId="2C7F4E18">
            <w:pPr>
              <w:keepNext w:val="0"/>
              <w:keepLines w:val="0"/>
              <w:pageBreakBefore w:val="0"/>
              <w:widowControl w:val="0"/>
              <w:suppressLineNumbers w:val="0"/>
              <w:wordWrap/>
              <w:overflowPunct/>
              <w:topLinePunct w:val="0"/>
              <w:bidi w:val="0"/>
              <w:jc w:val="center"/>
              <w:textAlignment w:val="top"/>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29</w:t>
            </w:r>
          </w:p>
        </w:tc>
        <w:tc>
          <w:tcPr>
            <w:tcW w:w="600" w:type="dxa"/>
            <w:tcBorders>
              <w:top w:val="nil"/>
              <w:left w:val="single" w:color="000000" w:sz="4" w:space="0"/>
              <w:bottom w:val="single" w:color="000000" w:sz="4" w:space="0"/>
              <w:right w:val="single" w:color="000000" w:sz="4" w:space="0"/>
            </w:tcBorders>
            <w:noWrap w:val="0"/>
            <w:vAlign w:val="center"/>
          </w:tcPr>
          <w:p w14:paraId="57C67C19">
            <w:pPr>
              <w:keepNext w:val="0"/>
              <w:keepLines w:val="0"/>
              <w:pageBreakBefore w:val="0"/>
              <w:widowControl w:val="0"/>
              <w:suppressLineNumbers w:val="0"/>
              <w:wordWrap/>
              <w:overflowPunct/>
              <w:topLinePunct w:val="0"/>
              <w:bidi w:val="0"/>
              <w:jc w:val="center"/>
              <w:textAlignment w:val="top"/>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29</w:t>
            </w:r>
          </w:p>
        </w:tc>
        <w:tc>
          <w:tcPr>
            <w:tcW w:w="543" w:type="dxa"/>
            <w:tcBorders>
              <w:top w:val="nil"/>
              <w:left w:val="single" w:color="000000" w:sz="4" w:space="0"/>
              <w:bottom w:val="single" w:color="000000" w:sz="4" w:space="0"/>
              <w:right w:val="nil"/>
            </w:tcBorders>
            <w:noWrap w:val="0"/>
            <w:vAlign w:val="center"/>
          </w:tcPr>
          <w:p w14:paraId="127672EB">
            <w:pPr>
              <w:keepNext w:val="0"/>
              <w:keepLines w:val="0"/>
              <w:pageBreakBefore w:val="0"/>
              <w:widowControl w:val="0"/>
              <w:suppressLineNumbers w:val="0"/>
              <w:wordWrap/>
              <w:overflowPunct/>
              <w:topLinePunct w:val="0"/>
              <w:bidi w:val="0"/>
              <w:jc w:val="center"/>
              <w:textAlignment w:val="top"/>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40</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14:paraId="66491C21">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20</w:t>
            </w:r>
          </w:p>
        </w:tc>
        <w:tc>
          <w:tcPr>
            <w:tcW w:w="635" w:type="dxa"/>
            <w:tcBorders>
              <w:top w:val="single" w:color="000000" w:sz="4" w:space="0"/>
              <w:left w:val="single" w:color="000000" w:sz="4" w:space="0"/>
              <w:bottom w:val="single" w:color="000000" w:sz="4" w:space="0"/>
              <w:right w:val="single" w:color="000000" w:sz="4" w:space="0"/>
            </w:tcBorders>
            <w:noWrap w:val="0"/>
            <w:vAlign w:val="center"/>
          </w:tcPr>
          <w:p w14:paraId="0BC1846A">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800</w:t>
            </w:r>
          </w:p>
        </w:tc>
      </w:tr>
    </w:tbl>
    <w:p w14:paraId="49D79A2F">
      <w:pPr>
        <w:pStyle w:val="4"/>
        <w:keepNext w:val="0"/>
        <w:keepLines w:val="0"/>
        <w:pageBreakBefore w:val="0"/>
        <w:widowControl/>
        <w:suppressLineNumbers w:val="0"/>
        <w:kinsoku/>
        <w:wordWrap/>
        <w:overflowPunct/>
        <w:topLinePunct w:val="0"/>
        <w:bidi w:val="0"/>
        <w:adjustRightInd/>
        <w:snapToGrid/>
        <w:spacing w:before="0" w:beforeAutospacing="0" w:afterAutospacing="0" w:line="560" w:lineRule="exact"/>
        <w:ind w:left="0" w:leftChars="0" w:right="0" w:firstLine="0" w:firstLineChars="0"/>
        <w:textAlignment w:val="auto"/>
        <w:rPr>
          <w:rFonts w:hint="eastAsia" w:ascii="楷体" w:hAnsi="楷体" w:eastAsia="楷体" w:cs="楷体"/>
          <w:b w:val="0"/>
          <w:bCs w:val="0"/>
          <w:kern w:val="0"/>
          <w:sz w:val="32"/>
          <w:szCs w:val="32"/>
          <w:lang w:val="en-US" w:eastAsia="zh-CN" w:bidi="ar"/>
        </w:rPr>
      </w:pPr>
    </w:p>
    <w:p w14:paraId="1B0F609E">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黑体" w:hAnsi="黑体" w:eastAsia="黑体" w:cs="黑体"/>
          <w:b w:val="0"/>
          <w:bCs w:val="0"/>
          <w:spacing w:val="0"/>
          <w:kern w:val="56"/>
          <w:sz w:val="32"/>
          <w:szCs w:val="32"/>
        </w:rPr>
      </w:pPr>
      <w:r>
        <w:rPr>
          <w:rFonts w:hint="eastAsia" w:ascii="黑体" w:hAnsi="黑体" w:eastAsia="黑体" w:cs="黑体"/>
          <w:b w:val="0"/>
          <w:bCs w:val="0"/>
          <w:spacing w:val="0"/>
          <w:kern w:val="56"/>
          <w:sz w:val="32"/>
          <w:szCs w:val="32"/>
          <w:lang w:val="en-US" w:eastAsia="zh-CN"/>
        </w:rPr>
        <w:t>八</w:t>
      </w:r>
      <w:r>
        <w:rPr>
          <w:rFonts w:hint="eastAsia" w:ascii="黑体" w:hAnsi="黑体" w:eastAsia="黑体" w:cs="黑体"/>
          <w:b w:val="0"/>
          <w:bCs w:val="0"/>
          <w:spacing w:val="0"/>
          <w:kern w:val="56"/>
          <w:sz w:val="32"/>
          <w:szCs w:val="32"/>
        </w:rPr>
        <w:t>、实施保障</w:t>
      </w:r>
    </w:p>
    <w:p w14:paraId="2D31A55E">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bookmarkStart w:id="21" w:name="_bookmark17"/>
      <w:bookmarkEnd w:id="21"/>
      <w:r>
        <w:rPr>
          <w:rFonts w:hint="eastAsia" w:ascii="仿宋_GB2312" w:hAnsi="仿宋_GB2312" w:eastAsia="仿宋_GB2312" w:cs="仿宋_GB2312"/>
          <w:b w:val="0"/>
          <w:bCs w:val="0"/>
          <w:sz w:val="32"/>
          <w:szCs w:val="32"/>
        </w:rPr>
        <w:t>主要包括师资队伍、教学设施、教学资源、教学方法、学习评价、质量管理等方面。</w:t>
      </w:r>
    </w:p>
    <w:p w14:paraId="3A22FAF2">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（一）师资队伍</w:t>
      </w:r>
    </w:p>
    <w:p w14:paraId="0DD62621">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1.队伍结构</w:t>
      </w:r>
    </w:p>
    <w:p w14:paraId="0DE9CF84">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jc w:val="left"/>
        <w:textAlignment w:val="auto"/>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32"/>
          <w:szCs w:val="32"/>
        </w:rPr>
        <w:t>根据智能设备运行与维护专业人才培养目标和学生规模，在师资结构上应按照专业带头人、骨干教师、双师素质教师、兼职教师进行合理配备学生数。本专业师生数比例不高于</w:t>
      </w:r>
      <w:r>
        <w:rPr>
          <w:rFonts w:hint="default" w:ascii="仿宋_GB2312" w:hAnsi="仿宋_GB2312" w:eastAsia="仿宋_GB2312" w:cs="仿宋_GB2312"/>
          <w:b w:val="0"/>
          <w:bCs w:val="0"/>
          <w:sz w:val="32"/>
          <w:szCs w:val="32"/>
        </w:rPr>
        <w:t>1:25</w:t>
      </w:r>
      <w:r>
        <w:rPr>
          <w:rFonts w:hint="eastAsia" w:ascii="仿宋_GB2312" w:hAnsi="仿宋_GB2312" w:eastAsia="仿宋_GB2312" w:cs="仿宋_GB2312"/>
          <w:b w:val="0"/>
          <w:bCs w:val="0"/>
          <w:sz w:val="32"/>
          <w:szCs w:val="32"/>
        </w:rPr>
        <w:t>，双师型教师占专业教师比达不低于</w:t>
      </w:r>
      <w:r>
        <w:rPr>
          <w:rFonts w:hint="default" w:ascii="仿宋_GB2312" w:hAnsi="仿宋_GB2312" w:eastAsia="仿宋_GB2312" w:cs="仿宋_GB2312"/>
          <w:b w:val="0"/>
          <w:bCs w:val="0"/>
          <w:sz w:val="32"/>
          <w:szCs w:val="32"/>
        </w:rPr>
        <w:t>30%</w:t>
      </w:r>
      <w:r>
        <w:rPr>
          <w:rFonts w:hint="eastAsia" w:ascii="仿宋_GB2312" w:hAnsi="仿宋_GB2312" w:eastAsia="仿宋_GB2312" w:cs="仿宋_GB2312"/>
          <w:b w:val="0"/>
          <w:bCs w:val="0"/>
          <w:sz w:val="32"/>
          <w:szCs w:val="32"/>
        </w:rPr>
        <w:t>，专任教师队伍职称、</w:t>
      </w:r>
      <w:r>
        <w:rPr>
          <w:rFonts w:hint="eastAsia" w:ascii="仿宋_GB2312" w:hAnsi="仿宋_GB2312" w:eastAsia="仿宋_GB2312" w:cs="仿宋_GB2312"/>
          <w:b w:val="0"/>
          <w:bCs w:val="0"/>
          <w:sz w:val="32"/>
          <w:szCs w:val="32"/>
          <w:lang w:val="en-US" w:eastAsia="zh-CN"/>
        </w:rPr>
        <w:t>年</w:t>
      </w:r>
      <w:r>
        <w:rPr>
          <w:rFonts w:hint="eastAsia" w:ascii="仿宋_GB2312" w:hAnsi="仿宋_GB2312" w:eastAsia="仿宋_GB2312" w:cs="仿宋_GB2312"/>
          <w:b w:val="0"/>
          <w:bCs w:val="0"/>
          <w:sz w:val="32"/>
          <w:szCs w:val="32"/>
        </w:rPr>
        <w:t>龄，具有合理的梯队结构，</w:t>
      </w:r>
    </w:p>
    <w:p w14:paraId="0461C582">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2.专业带头人</w:t>
      </w:r>
    </w:p>
    <w:p w14:paraId="6EE00B84">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（1）具有本科学历、副教授以上专业技术职务，专业对口且为“双师型”教师，担任该专业两门以上课程教学工作；</w:t>
      </w:r>
    </w:p>
    <w:p w14:paraId="56A04162">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Autospacing="0" w:afterAutospacing="0" w:line="560" w:lineRule="exact"/>
        <w:ind w:firstLine="640" w:firstLineChars="200"/>
        <w:jc w:val="left"/>
        <w:textAlignment w:val="auto"/>
        <w:outlineLvl w:val="9"/>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（2）忠于职业教育事业，具有系统坚实的基础理论知识和丰富的教学经验;</w:t>
      </w:r>
    </w:p>
    <w:p w14:paraId="44D16F7C">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（3）了解本专业领域的最新发展动态，能够制定和解读本专业的相关培养方案;</w:t>
      </w:r>
    </w:p>
    <w:p w14:paraId="0008FCAF">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（4）教育教学科研能力突出，成绩显著。</w:t>
      </w:r>
    </w:p>
    <w:p w14:paraId="32E5FCF3">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3.专任教师</w:t>
      </w:r>
    </w:p>
    <w:p w14:paraId="54006B9D">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（1）专任授课教师具备本专业或相近专业大学本科以上学历（含本科）</w:t>
      </w:r>
    </w:p>
    <w:p w14:paraId="253648E4">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（2）专任实训教师要具备专业中级以上的资格证书或从业证书；</w:t>
      </w:r>
    </w:p>
    <w:p w14:paraId="6C1F2804">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（3）本专业专任教师“双师”资格的比例要达到60%以上；</w:t>
      </w:r>
    </w:p>
    <w:p w14:paraId="5A61C1C5">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kern w:val="0"/>
          <w:sz w:val="32"/>
          <w:szCs w:val="32"/>
          <w:lang w:val="en-US" w:eastAsia="zh-CN" w:bidi="ar"/>
        </w:rPr>
        <w:t>（4）专任教师应具有开发职业课程的能力。</w:t>
      </w:r>
    </w:p>
    <w:p w14:paraId="4917214D">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left="0" w:firstLine="812" w:firstLineChars="254"/>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4.兼职教师</w:t>
      </w:r>
    </w:p>
    <w:p w14:paraId="44D38D9F">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拥有工程师、技师职称的技术人员，或是在本专业领域享有较高声誉、丰富实践经验和特殊技能的行业企业技术专家；</w:t>
      </w:r>
      <w:r>
        <w:rPr>
          <w:rFonts w:hint="eastAsia" w:ascii="仿宋_GB2312" w:hAnsi="仿宋_GB2312" w:eastAsia="仿宋_GB2312" w:cs="仿宋_GB2312"/>
          <w:b w:val="0"/>
          <w:bCs w:val="0"/>
          <w:sz w:val="32"/>
          <w:szCs w:val="32"/>
          <w:lang w:val="en-US" w:eastAsia="zh-CN"/>
        </w:rPr>
        <w:t xml:space="preserve">                                                                                 </w:t>
      </w:r>
    </w:p>
    <w:p w14:paraId="7E6CD9C8">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楷体" w:hAnsi="楷体" w:eastAsia="楷体" w:cs="楷体"/>
          <w:b w:val="0"/>
          <w:bCs w:val="0"/>
          <w:kern w:val="0"/>
          <w:sz w:val="32"/>
          <w:szCs w:val="32"/>
          <w:lang w:val="en-US" w:eastAsia="zh-CN" w:bidi="ar"/>
        </w:rPr>
      </w:pPr>
      <w:r>
        <w:rPr>
          <w:rFonts w:hint="eastAsia" w:ascii="楷体" w:hAnsi="楷体" w:eastAsia="楷体" w:cs="楷体"/>
          <w:b w:val="0"/>
          <w:bCs w:val="0"/>
          <w:kern w:val="0"/>
          <w:sz w:val="32"/>
          <w:szCs w:val="32"/>
          <w:lang w:val="en-US" w:eastAsia="zh-CN" w:bidi="ar"/>
        </w:rPr>
        <w:t>（二）教学设施</w:t>
      </w:r>
    </w:p>
    <w:p w14:paraId="45CC07B7">
      <w:pPr>
        <w:pStyle w:val="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1.专业教室基本条件</w:t>
      </w:r>
    </w:p>
    <w:p w14:paraId="499FB022">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一般配备智能感光版、多媒体计算机、投影设备、音响设备，互联网接入或WiFi环境，并具有网络安全防护措施。安装应急照明装置并保持良好状态，符合紧急疏散要求、标志明显、保持逃生通道畅通无阻。</w:t>
      </w:r>
    </w:p>
    <w:p w14:paraId="73CA84BA">
      <w:pPr>
        <w:pStyle w:val="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2.校内实践教学条件</w:t>
      </w:r>
    </w:p>
    <w:p w14:paraId="25015169">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kern w:val="0"/>
          <w:sz w:val="24"/>
          <w:szCs w:val="24"/>
          <w:lang w:val="en-US" w:eastAsia="zh-CN" w:bidi="ar"/>
        </w:rPr>
      </w:pPr>
      <w:r>
        <w:rPr>
          <w:rFonts w:hint="eastAsia" w:ascii="仿宋_GB2312" w:hAnsi="仿宋_GB2312" w:eastAsia="仿宋_GB2312" w:cs="仿宋_GB2312"/>
          <w:b w:val="0"/>
          <w:bCs w:val="0"/>
          <w:kern w:val="0"/>
          <w:sz w:val="32"/>
          <w:szCs w:val="32"/>
          <w:lang w:val="en-US" w:eastAsia="zh-CN" w:bidi="ar"/>
        </w:rPr>
        <w:t>校内实践教学条件按照完成专业学习领域核心课程的学习情境教学要求配置，每个场地满足一次性容纳50名学生进行基于行动导向的理论实践一体化教学的需要。</w:t>
      </w:r>
    </w:p>
    <w:p w14:paraId="4AF42377">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_GB2312" w:hAnsi="仿宋_GB2312" w:eastAsia="仿宋_GB2312" w:cs="仿宋_GB2312"/>
          <w:b w:val="0"/>
          <w:bCs w:val="0"/>
          <w:sz w:val="24"/>
          <w:szCs w:val="24"/>
        </w:rPr>
      </w:pPr>
      <w:r>
        <w:rPr>
          <w:rStyle w:val="11"/>
          <w:rFonts w:hint="eastAsia" w:ascii="仿宋_GB2312" w:hAnsi="仿宋_GB2312" w:eastAsia="仿宋_GB2312" w:cs="仿宋_GB2312"/>
          <w:b w:val="0"/>
          <w:bCs w:val="0"/>
          <w:sz w:val="24"/>
          <w:szCs w:val="24"/>
        </w:rPr>
        <w:t>表1</w:t>
      </w:r>
      <w:r>
        <w:rPr>
          <w:rStyle w:val="11"/>
          <w:rFonts w:hint="eastAsia" w:ascii="仿宋_GB2312" w:hAnsi="仿宋_GB2312" w:eastAsia="仿宋_GB2312" w:cs="仿宋_GB2312"/>
          <w:b w:val="0"/>
          <w:bCs w:val="0"/>
          <w:sz w:val="24"/>
          <w:szCs w:val="24"/>
          <w:lang w:val="en-US" w:eastAsia="zh-CN"/>
        </w:rPr>
        <w:t>0</w:t>
      </w:r>
      <w:r>
        <w:rPr>
          <w:rStyle w:val="11"/>
          <w:rFonts w:hint="eastAsia" w:ascii="仿宋_GB2312" w:hAnsi="仿宋_GB2312" w:eastAsia="仿宋_GB2312" w:cs="仿宋_GB2312"/>
          <w:b w:val="0"/>
          <w:bCs w:val="0"/>
          <w:sz w:val="24"/>
          <w:szCs w:val="24"/>
        </w:rPr>
        <w:t xml:space="preserve">    校内实践教学条件</w:t>
      </w:r>
    </w:p>
    <w:tbl>
      <w:tblPr>
        <w:tblStyle w:val="9"/>
        <w:tblW w:w="0" w:type="auto"/>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399"/>
        <w:gridCol w:w="2012"/>
        <w:gridCol w:w="2745"/>
        <w:gridCol w:w="3426"/>
      </w:tblGrid>
      <w:tr w14:paraId="40DB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03" w:hRule="atLeast"/>
          <w:tblCellSpacing w:w="0" w:type="dxa"/>
        </w:trPr>
        <w:tc>
          <w:tcPr>
            <w:tcW w:w="0" w:type="auto"/>
            <w:shd w:val="clear" w:color="auto" w:fill="FFFFFF" w:themeFill="background1"/>
            <w:tcMar>
              <w:top w:w="0" w:type="dxa"/>
              <w:left w:w="36" w:type="dxa"/>
              <w:bottom w:w="0" w:type="dxa"/>
              <w:right w:w="36" w:type="dxa"/>
            </w:tcMar>
            <w:vAlign w:val="center"/>
          </w:tcPr>
          <w:p w14:paraId="3E83049A">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Style w:val="11"/>
                <w:rFonts w:hint="eastAsia" w:asciiTheme="minorEastAsia" w:hAnsiTheme="minorEastAsia" w:eastAsiaTheme="minorEastAsia" w:cstheme="minorEastAsia"/>
                <w:b w:val="0"/>
                <w:bCs w:val="0"/>
                <w:sz w:val="24"/>
                <w:szCs w:val="24"/>
              </w:rPr>
              <w:t>序号</w:t>
            </w:r>
          </w:p>
        </w:tc>
        <w:tc>
          <w:tcPr>
            <w:tcW w:w="0" w:type="auto"/>
            <w:shd w:val="clear" w:color="auto" w:fill="FFFFFF" w:themeFill="background1"/>
            <w:tcMar>
              <w:top w:w="0" w:type="dxa"/>
              <w:left w:w="36" w:type="dxa"/>
              <w:bottom w:w="0" w:type="dxa"/>
              <w:right w:w="36" w:type="dxa"/>
            </w:tcMar>
            <w:vAlign w:val="center"/>
          </w:tcPr>
          <w:p w14:paraId="51B84F66">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Style w:val="11"/>
                <w:rFonts w:hint="eastAsia" w:asciiTheme="minorEastAsia" w:hAnsiTheme="minorEastAsia" w:eastAsiaTheme="minorEastAsia" w:cstheme="minorEastAsia"/>
                <w:b w:val="0"/>
                <w:bCs w:val="0"/>
                <w:sz w:val="24"/>
                <w:szCs w:val="24"/>
              </w:rPr>
              <w:t>实训室名称</w:t>
            </w:r>
          </w:p>
        </w:tc>
        <w:tc>
          <w:tcPr>
            <w:tcW w:w="0" w:type="auto"/>
            <w:shd w:val="clear" w:color="auto" w:fill="FFFFFF" w:themeFill="background1"/>
            <w:tcMar>
              <w:top w:w="0" w:type="dxa"/>
              <w:left w:w="36" w:type="dxa"/>
              <w:bottom w:w="0" w:type="dxa"/>
              <w:right w:w="36" w:type="dxa"/>
            </w:tcMar>
            <w:vAlign w:val="center"/>
          </w:tcPr>
          <w:p w14:paraId="2E258A6A">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Style w:val="11"/>
                <w:rFonts w:hint="eastAsia" w:asciiTheme="minorEastAsia" w:hAnsiTheme="minorEastAsia" w:eastAsiaTheme="minorEastAsia" w:cstheme="minorEastAsia"/>
                <w:b w:val="0"/>
                <w:bCs w:val="0"/>
                <w:sz w:val="24"/>
                <w:szCs w:val="24"/>
              </w:rPr>
              <w:t>主要工具与设备名称</w:t>
            </w:r>
          </w:p>
        </w:tc>
        <w:tc>
          <w:tcPr>
            <w:tcW w:w="3426" w:type="dxa"/>
            <w:shd w:val="clear" w:color="auto" w:fill="FFFFFF" w:themeFill="background1"/>
            <w:tcMar>
              <w:top w:w="0" w:type="dxa"/>
              <w:left w:w="36" w:type="dxa"/>
              <w:bottom w:w="0" w:type="dxa"/>
              <w:right w:w="36" w:type="dxa"/>
            </w:tcMar>
            <w:vAlign w:val="center"/>
          </w:tcPr>
          <w:p w14:paraId="280D1253">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Style w:val="11"/>
                <w:rFonts w:hint="eastAsia" w:asciiTheme="minorEastAsia" w:hAnsiTheme="minorEastAsia" w:eastAsiaTheme="minorEastAsia" w:cstheme="minorEastAsia"/>
                <w:b w:val="0"/>
                <w:bCs w:val="0"/>
                <w:sz w:val="24"/>
                <w:szCs w:val="24"/>
              </w:rPr>
              <w:t>主要实训项目</w:t>
            </w:r>
          </w:p>
        </w:tc>
      </w:tr>
      <w:tr w14:paraId="5B7F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835" w:hRule="atLeast"/>
          <w:tblCellSpacing w:w="0" w:type="dxa"/>
        </w:trPr>
        <w:tc>
          <w:tcPr>
            <w:tcW w:w="0" w:type="auto"/>
            <w:shd w:val="clear" w:color="auto" w:fill="auto"/>
            <w:tcMar>
              <w:top w:w="0" w:type="dxa"/>
              <w:left w:w="36" w:type="dxa"/>
              <w:bottom w:w="0" w:type="dxa"/>
              <w:right w:w="36" w:type="dxa"/>
            </w:tcMar>
            <w:vAlign w:val="center"/>
          </w:tcPr>
          <w:p w14:paraId="498C7C54">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w:t>
            </w:r>
          </w:p>
        </w:tc>
        <w:tc>
          <w:tcPr>
            <w:tcW w:w="0" w:type="auto"/>
            <w:shd w:val="clear" w:color="auto" w:fill="auto"/>
            <w:tcMar>
              <w:top w:w="0" w:type="dxa"/>
              <w:left w:w="36" w:type="dxa"/>
              <w:bottom w:w="0" w:type="dxa"/>
              <w:right w:w="36" w:type="dxa"/>
            </w:tcMar>
            <w:vAlign w:val="center"/>
          </w:tcPr>
          <w:p w14:paraId="65D27F74">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default" w:asciiTheme="minorEastAsia" w:hAnsiTheme="minorEastAsia" w:eastAsiaTheme="minorEastAsia" w:cstheme="minorEastAsia"/>
                <w:b w:val="0"/>
                <w:bCs w:val="0"/>
                <w:sz w:val="24"/>
                <w:szCs w:val="24"/>
                <w:lang w:val="en-US"/>
              </w:rPr>
            </w:pPr>
            <w:r>
              <w:rPr>
                <w:rFonts w:hint="eastAsia" w:asciiTheme="minorEastAsia" w:hAnsiTheme="minorEastAsia" w:eastAsiaTheme="minorEastAsia" w:cstheme="minorEastAsia"/>
                <w:b w:val="0"/>
                <w:bCs w:val="0"/>
                <w:sz w:val="24"/>
                <w:szCs w:val="24"/>
                <w:lang w:val="en-US" w:eastAsia="zh-CN"/>
              </w:rPr>
              <w:t>无人机实验室</w:t>
            </w:r>
          </w:p>
        </w:tc>
        <w:tc>
          <w:tcPr>
            <w:tcW w:w="0" w:type="auto"/>
            <w:shd w:val="clear" w:color="auto" w:fill="auto"/>
            <w:tcMar>
              <w:top w:w="0" w:type="dxa"/>
              <w:left w:w="36" w:type="dxa"/>
              <w:bottom w:w="0" w:type="dxa"/>
              <w:right w:w="36" w:type="dxa"/>
            </w:tcMar>
            <w:vAlign w:val="center"/>
          </w:tcPr>
          <w:p w14:paraId="7601CBFC">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六旋翼无人机</w:t>
            </w:r>
          </w:p>
          <w:p w14:paraId="768B0B6E">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云台</w:t>
            </w:r>
          </w:p>
          <w:p w14:paraId="5249747C">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pealsen工业激光雷达传感器LN-AGV避障扫描仪</w:t>
            </w:r>
            <w:r>
              <w:rPr>
                <w:rFonts w:hint="eastAsia" w:asciiTheme="minorEastAsia" w:hAnsiTheme="minorEastAsia" w:eastAsiaTheme="minorEastAsia" w:cstheme="minorEastAsia"/>
                <w:b w:val="0"/>
                <w:bCs w:val="0"/>
                <w:sz w:val="24"/>
                <w:szCs w:val="24"/>
              </w:rPr>
              <w:t> </w:t>
            </w:r>
          </w:p>
          <w:p w14:paraId="1166D4CF">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极翼 JIYI K++ V2 多轴 农用植保飞控 </w:t>
            </w:r>
          </w:p>
          <w:p w14:paraId="53692291">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奋斗者4+1无人机 垂直起降固定翼载机</w:t>
            </w:r>
          </w:p>
          <w:p w14:paraId="78FF8B91">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7寸带屏无人机遥控器</w:t>
            </w:r>
          </w:p>
        </w:tc>
        <w:tc>
          <w:tcPr>
            <w:tcW w:w="3426" w:type="dxa"/>
            <w:shd w:val="clear" w:color="auto" w:fill="auto"/>
            <w:tcMar>
              <w:top w:w="0" w:type="dxa"/>
              <w:left w:w="36" w:type="dxa"/>
              <w:bottom w:w="0" w:type="dxa"/>
              <w:right w:w="36" w:type="dxa"/>
            </w:tcMar>
            <w:vAlign w:val="center"/>
          </w:tcPr>
          <w:p w14:paraId="2FE0041A">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rPr>
              <w:t>1、</w:t>
            </w:r>
            <w:r>
              <w:rPr>
                <w:rFonts w:hint="eastAsia" w:asciiTheme="minorEastAsia" w:hAnsiTheme="minorEastAsia" w:eastAsiaTheme="minorEastAsia" w:cstheme="minorEastAsia"/>
                <w:b w:val="0"/>
                <w:bCs w:val="0"/>
                <w:sz w:val="24"/>
                <w:szCs w:val="24"/>
                <w:lang w:val="en-US" w:eastAsia="zh-CN"/>
              </w:rPr>
              <w:t>无人机模拟飞行</w:t>
            </w:r>
          </w:p>
          <w:p w14:paraId="195D0336">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w:t>
            </w:r>
            <w:r>
              <w:rPr>
                <w:rFonts w:hint="eastAsia" w:asciiTheme="minorEastAsia" w:hAnsiTheme="minorEastAsia" w:eastAsiaTheme="minorEastAsia" w:cstheme="minorEastAsia"/>
                <w:b w:val="0"/>
                <w:bCs w:val="0"/>
                <w:sz w:val="24"/>
                <w:szCs w:val="24"/>
                <w:lang w:val="en-US" w:eastAsia="zh-CN"/>
              </w:rPr>
              <w:t>无人机操作</w:t>
            </w:r>
            <w:r>
              <w:rPr>
                <w:rFonts w:hint="eastAsia" w:asciiTheme="minorEastAsia" w:hAnsiTheme="minorEastAsia" w:eastAsiaTheme="minorEastAsia" w:cstheme="minorEastAsia"/>
                <w:b w:val="0"/>
                <w:bCs w:val="0"/>
                <w:sz w:val="24"/>
                <w:szCs w:val="24"/>
              </w:rPr>
              <w:t>；</w:t>
            </w:r>
          </w:p>
          <w:p w14:paraId="7561D08D">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w:t>
            </w:r>
            <w:r>
              <w:rPr>
                <w:rFonts w:hint="eastAsia" w:asciiTheme="minorEastAsia" w:hAnsiTheme="minorEastAsia" w:eastAsiaTheme="minorEastAsia" w:cstheme="minorEastAsia"/>
                <w:b w:val="0"/>
                <w:bCs w:val="0"/>
                <w:sz w:val="24"/>
                <w:szCs w:val="24"/>
                <w:lang w:val="en-US" w:eastAsia="zh-CN"/>
              </w:rPr>
              <w:t>无人机调试组装</w:t>
            </w:r>
            <w:r>
              <w:rPr>
                <w:rFonts w:hint="eastAsia" w:asciiTheme="minorEastAsia" w:hAnsiTheme="minorEastAsia" w:eastAsiaTheme="minorEastAsia" w:cstheme="minorEastAsia"/>
                <w:b w:val="0"/>
                <w:bCs w:val="0"/>
                <w:sz w:val="24"/>
                <w:szCs w:val="24"/>
              </w:rPr>
              <w:t>；</w:t>
            </w:r>
          </w:p>
          <w:p w14:paraId="03EAD3F7">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p>
        </w:tc>
      </w:tr>
      <w:tr w14:paraId="183F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 w:hRule="atLeast"/>
          <w:tblCellSpacing w:w="0" w:type="dxa"/>
        </w:trPr>
        <w:tc>
          <w:tcPr>
            <w:tcW w:w="0" w:type="auto"/>
            <w:shd w:val="clear" w:color="auto" w:fill="auto"/>
            <w:tcMar>
              <w:top w:w="0" w:type="dxa"/>
              <w:left w:w="36" w:type="dxa"/>
              <w:bottom w:w="0" w:type="dxa"/>
              <w:right w:w="36" w:type="dxa"/>
            </w:tcMar>
            <w:vAlign w:val="center"/>
          </w:tcPr>
          <w:p w14:paraId="5D079922">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w:t>
            </w:r>
          </w:p>
        </w:tc>
        <w:tc>
          <w:tcPr>
            <w:tcW w:w="0" w:type="auto"/>
            <w:shd w:val="clear" w:color="auto" w:fill="auto"/>
            <w:tcMar>
              <w:top w:w="0" w:type="dxa"/>
              <w:left w:w="36" w:type="dxa"/>
              <w:bottom w:w="0" w:type="dxa"/>
              <w:right w:w="36" w:type="dxa"/>
            </w:tcMar>
            <w:vAlign w:val="center"/>
          </w:tcPr>
          <w:p w14:paraId="753E4506">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水下航行器实验室</w:t>
            </w:r>
          </w:p>
        </w:tc>
        <w:tc>
          <w:tcPr>
            <w:tcW w:w="0" w:type="auto"/>
            <w:shd w:val="clear" w:color="auto" w:fill="auto"/>
            <w:tcMar>
              <w:top w:w="0" w:type="dxa"/>
              <w:left w:w="36" w:type="dxa"/>
              <w:bottom w:w="0" w:type="dxa"/>
              <w:right w:w="36" w:type="dxa"/>
            </w:tcMar>
            <w:vAlign w:val="center"/>
          </w:tcPr>
          <w:p w14:paraId="01837838">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无刷推进器12~24V船模水下推进器大推力潜12艇水下机器人淡水推进</w:t>
            </w:r>
          </w:p>
          <w:p w14:paraId="79A74F2A">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水下机器人控制系统 电子舱体 ardusub 密封舱 ROV 竞赛 </w:t>
            </w:r>
          </w:p>
        </w:tc>
        <w:tc>
          <w:tcPr>
            <w:tcW w:w="3426" w:type="dxa"/>
            <w:shd w:val="clear" w:color="auto" w:fill="auto"/>
            <w:tcMar>
              <w:top w:w="0" w:type="dxa"/>
              <w:left w:w="36" w:type="dxa"/>
              <w:bottom w:w="0" w:type="dxa"/>
              <w:right w:w="36" w:type="dxa"/>
            </w:tcMar>
            <w:vAlign w:val="center"/>
          </w:tcPr>
          <w:p w14:paraId="36DE39CB">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rPr>
              <w:t>1、</w:t>
            </w:r>
            <w:r>
              <w:rPr>
                <w:rFonts w:hint="eastAsia" w:asciiTheme="minorEastAsia" w:hAnsiTheme="minorEastAsia" w:eastAsiaTheme="minorEastAsia" w:cstheme="minorEastAsia"/>
                <w:b w:val="0"/>
                <w:bCs w:val="0"/>
                <w:sz w:val="24"/>
                <w:szCs w:val="24"/>
                <w:lang w:val="en-US" w:eastAsia="zh-CN"/>
              </w:rPr>
              <w:t>水下设备组装</w:t>
            </w:r>
          </w:p>
          <w:p w14:paraId="793FC4A6">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w:t>
            </w:r>
            <w:r>
              <w:rPr>
                <w:rFonts w:hint="eastAsia" w:asciiTheme="minorEastAsia" w:hAnsiTheme="minorEastAsia" w:eastAsiaTheme="minorEastAsia" w:cstheme="minorEastAsia"/>
                <w:b w:val="0"/>
                <w:bCs w:val="0"/>
                <w:sz w:val="24"/>
                <w:szCs w:val="24"/>
                <w:lang w:val="en-US" w:eastAsia="zh-CN"/>
              </w:rPr>
              <w:t>水下航行器操作</w:t>
            </w:r>
            <w:r>
              <w:rPr>
                <w:rFonts w:hint="eastAsia" w:asciiTheme="minorEastAsia" w:hAnsiTheme="minorEastAsia" w:eastAsiaTheme="minorEastAsia" w:cstheme="minorEastAsia"/>
                <w:b w:val="0"/>
                <w:bCs w:val="0"/>
                <w:sz w:val="24"/>
                <w:szCs w:val="24"/>
              </w:rPr>
              <w:t>；</w:t>
            </w:r>
          </w:p>
          <w:p w14:paraId="5A82095B">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w:t>
            </w:r>
            <w:r>
              <w:rPr>
                <w:rFonts w:hint="eastAsia" w:asciiTheme="minorEastAsia" w:hAnsiTheme="minorEastAsia" w:eastAsiaTheme="minorEastAsia" w:cstheme="minorEastAsia"/>
                <w:b w:val="0"/>
                <w:bCs w:val="0"/>
                <w:sz w:val="24"/>
                <w:szCs w:val="24"/>
                <w:lang w:val="en-US" w:eastAsia="zh-CN"/>
              </w:rPr>
              <w:t>水下设备调试</w:t>
            </w:r>
            <w:r>
              <w:rPr>
                <w:rFonts w:hint="eastAsia" w:asciiTheme="minorEastAsia" w:hAnsiTheme="minorEastAsia" w:eastAsiaTheme="minorEastAsia" w:cstheme="minorEastAsia"/>
                <w:b w:val="0"/>
                <w:bCs w:val="0"/>
                <w:sz w:val="24"/>
                <w:szCs w:val="24"/>
              </w:rPr>
              <w:t>；</w:t>
            </w:r>
          </w:p>
          <w:p w14:paraId="7F3276E6">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 </w:t>
            </w:r>
          </w:p>
        </w:tc>
      </w:tr>
      <w:tr w14:paraId="45789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 w:hRule="atLeast"/>
          <w:tblCellSpacing w:w="0" w:type="dxa"/>
        </w:trPr>
        <w:tc>
          <w:tcPr>
            <w:tcW w:w="399" w:type="dxa"/>
            <w:shd w:val="clear" w:color="auto" w:fill="auto"/>
            <w:tcMar>
              <w:top w:w="0" w:type="dxa"/>
              <w:left w:w="36" w:type="dxa"/>
              <w:bottom w:w="0" w:type="dxa"/>
              <w:right w:w="36" w:type="dxa"/>
            </w:tcMar>
            <w:vAlign w:val="center"/>
          </w:tcPr>
          <w:p w14:paraId="6C16F070">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3</w:t>
            </w:r>
          </w:p>
        </w:tc>
        <w:tc>
          <w:tcPr>
            <w:tcW w:w="1790" w:type="dxa"/>
            <w:shd w:val="clear" w:color="auto" w:fill="auto"/>
            <w:tcMar>
              <w:top w:w="0" w:type="dxa"/>
              <w:left w:w="36" w:type="dxa"/>
              <w:bottom w:w="0" w:type="dxa"/>
              <w:right w:w="36" w:type="dxa"/>
            </w:tcMar>
            <w:vAlign w:val="center"/>
          </w:tcPr>
          <w:p w14:paraId="535C37E7">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无人艇实验室</w:t>
            </w:r>
          </w:p>
        </w:tc>
        <w:tc>
          <w:tcPr>
            <w:tcW w:w="2745" w:type="dxa"/>
            <w:shd w:val="clear" w:color="auto" w:fill="auto"/>
            <w:tcMar>
              <w:top w:w="0" w:type="dxa"/>
              <w:left w:w="36" w:type="dxa"/>
              <w:bottom w:w="0" w:type="dxa"/>
              <w:right w:w="36" w:type="dxa"/>
            </w:tcMar>
            <w:vAlign w:val="center"/>
          </w:tcPr>
          <w:p w14:paraId="55A1F111">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5.3米玻璃钢防汛快艇</w:t>
            </w:r>
          </w:p>
          <w:p w14:paraId="54C2C743">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SIYI思翼 MK32 30KM工业级手持高清高亮图传7寸带屏无人机遥控器</w:t>
            </w:r>
          </w:p>
        </w:tc>
        <w:tc>
          <w:tcPr>
            <w:tcW w:w="3426" w:type="dxa"/>
            <w:shd w:val="clear" w:color="auto" w:fill="auto"/>
            <w:tcMar>
              <w:top w:w="0" w:type="dxa"/>
              <w:left w:w="36" w:type="dxa"/>
              <w:bottom w:w="0" w:type="dxa"/>
              <w:right w:w="36" w:type="dxa"/>
            </w:tcMar>
            <w:vAlign w:val="center"/>
          </w:tcPr>
          <w:p w14:paraId="22E9E49A">
            <w:pPr>
              <w:pStyle w:val="8"/>
              <w:keepNext w:val="0"/>
              <w:keepLines w:val="0"/>
              <w:pageBreakBefore w:val="0"/>
              <w:widowControl/>
              <w:numPr>
                <w:ilvl w:val="0"/>
                <w:numId w:val="2"/>
              </w:numPr>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无人艇的组装</w:t>
            </w:r>
          </w:p>
          <w:p w14:paraId="5CD80539">
            <w:pPr>
              <w:pStyle w:val="8"/>
              <w:keepNext w:val="0"/>
              <w:keepLines w:val="0"/>
              <w:pageBreakBefore w:val="0"/>
              <w:widowControl/>
              <w:numPr>
                <w:ilvl w:val="0"/>
                <w:numId w:val="2"/>
              </w:numPr>
              <w:suppressLineNumbers w:val="0"/>
              <w:kinsoku/>
              <w:topLinePunct w:val="0"/>
              <w:bidi w:val="0"/>
              <w:adjustRightInd/>
              <w:snapToGrid/>
              <w:spacing w:before="0" w:beforeAutospacing="0" w:after="0" w:afterAutospacing="0" w:line="560" w:lineRule="exact"/>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水上雷达探测设备的调试</w:t>
            </w:r>
          </w:p>
        </w:tc>
      </w:tr>
      <w:tr w14:paraId="47228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 w:hRule="atLeast"/>
          <w:tblCellSpacing w:w="0" w:type="dxa"/>
        </w:trPr>
        <w:tc>
          <w:tcPr>
            <w:tcW w:w="0" w:type="auto"/>
            <w:shd w:val="clear" w:color="auto" w:fill="auto"/>
            <w:tcMar>
              <w:top w:w="0" w:type="dxa"/>
              <w:left w:w="36" w:type="dxa"/>
              <w:bottom w:w="0" w:type="dxa"/>
              <w:right w:w="36" w:type="dxa"/>
            </w:tcMar>
            <w:vAlign w:val="center"/>
          </w:tcPr>
          <w:p w14:paraId="3F4A1B1E">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lang w:val="en-US" w:eastAsia="zh-CN"/>
              </w:rPr>
              <w:t>4</w:t>
            </w:r>
          </w:p>
        </w:tc>
        <w:tc>
          <w:tcPr>
            <w:tcW w:w="0" w:type="auto"/>
            <w:shd w:val="clear" w:color="auto" w:fill="auto"/>
            <w:tcMar>
              <w:top w:w="0" w:type="dxa"/>
              <w:left w:w="36" w:type="dxa"/>
              <w:bottom w:w="0" w:type="dxa"/>
              <w:right w:w="36" w:type="dxa"/>
            </w:tcMar>
            <w:vAlign w:val="center"/>
          </w:tcPr>
          <w:p w14:paraId="75524AC1">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除雪机器人试验</w:t>
            </w:r>
            <w:r>
              <w:rPr>
                <w:rFonts w:hint="eastAsia" w:asciiTheme="minorEastAsia" w:hAnsiTheme="minorEastAsia" w:eastAsiaTheme="minorEastAsia" w:cstheme="minorEastAsia"/>
                <w:b w:val="0"/>
                <w:bCs w:val="0"/>
                <w:sz w:val="24"/>
                <w:szCs w:val="24"/>
              </w:rPr>
              <w:t>室</w:t>
            </w:r>
          </w:p>
        </w:tc>
        <w:tc>
          <w:tcPr>
            <w:tcW w:w="0" w:type="auto"/>
            <w:shd w:val="clear" w:color="auto" w:fill="auto"/>
            <w:tcMar>
              <w:top w:w="0" w:type="dxa"/>
              <w:left w:w="36" w:type="dxa"/>
              <w:bottom w:w="0" w:type="dxa"/>
              <w:right w:w="36" w:type="dxa"/>
            </w:tcMar>
            <w:vAlign w:val="center"/>
          </w:tcPr>
          <w:p w14:paraId="7C3F3F83">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4缸柴油发动机</w:t>
            </w:r>
          </w:p>
          <w:p w14:paraId="42E38938">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云台</w:t>
            </w:r>
          </w:p>
          <w:p w14:paraId="4EF7C7CA">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带屏无人机遥控器</w:t>
            </w:r>
          </w:p>
          <w:p w14:paraId="1D14B2F7">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p>
          <w:p w14:paraId="476B161E">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p>
        </w:tc>
        <w:tc>
          <w:tcPr>
            <w:tcW w:w="3426" w:type="dxa"/>
            <w:shd w:val="clear" w:color="auto" w:fill="auto"/>
            <w:tcMar>
              <w:top w:w="0" w:type="dxa"/>
              <w:left w:w="36" w:type="dxa"/>
              <w:bottom w:w="0" w:type="dxa"/>
              <w:right w:w="36" w:type="dxa"/>
            </w:tcMar>
            <w:vAlign w:val="center"/>
          </w:tcPr>
          <w:p w14:paraId="1AC31FB4">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1、照明线路的安装；</w:t>
            </w:r>
          </w:p>
          <w:p w14:paraId="411D7A00">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2、电动机控制线路；</w:t>
            </w:r>
          </w:p>
          <w:p w14:paraId="7E042E24">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3、电子电路实训；</w:t>
            </w:r>
          </w:p>
        </w:tc>
      </w:tr>
      <w:tr w14:paraId="0DFC9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 w:hRule="atLeast"/>
          <w:tblCellSpacing w:w="0" w:type="dxa"/>
        </w:trPr>
        <w:tc>
          <w:tcPr>
            <w:tcW w:w="0" w:type="auto"/>
            <w:shd w:val="clear" w:color="auto" w:fill="auto"/>
            <w:tcMar>
              <w:top w:w="0" w:type="dxa"/>
              <w:left w:w="36" w:type="dxa"/>
              <w:bottom w:w="0" w:type="dxa"/>
              <w:right w:w="36" w:type="dxa"/>
            </w:tcMar>
            <w:vAlign w:val="center"/>
          </w:tcPr>
          <w:p w14:paraId="21A6376F">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4</w:t>
            </w:r>
          </w:p>
        </w:tc>
        <w:tc>
          <w:tcPr>
            <w:tcW w:w="0" w:type="auto"/>
            <w:shd w:val="clear" w:color="auto" w:fill="auto"/>
            <w:tcMar>
              <w:top w:w="0" w:type="dxa"/>
              <w:left w:w="36" w:type="dxa"/>
              <w:bottom w:w="0" w:type="dxa"/>
              <w:right w:w="36" w:type="dxa"/>
            </w:tcMar>
            <w:vAlign w:val="center"/>
          </w:tcPr>
          <w:p w14:paraId="7EB2ED09">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PLC实训室</w:t>
            </w:r>
          </w:p>
        </w:tc>
        <w:tc>
          <w:tcPr>
            <w:tcW w:w="0" w:type="auto"/>
            <w:shd w:val="clear" w:color="auto" w:fill="auto"/>
            <w:tcMar>
              <w:top w:w="0" w:type="dxa"/>
              <w:left w:w="36" w:type="dxa"/>
              <w:bottom w:w="0" w:type="dxa"/>
              <w:right w:w="36" w:type="dxa"/>
            </w:tcMar>
            <w:vAlign w:val="center"/>
          </w:tcPr>
          <w:p w14:paraId="686EA644">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学生实训台25套</w:t>
            </w:r>
          </w:p>
          <w:p w14:paraId="50089CEC">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PLC编程模块120块</w:t>
            </w:r>
          </w:p>
          <w:p w14:paraId="40CF65C8">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教师实训台1套</w:t>
            </w:r>
          </w:p>
          <w:p w14:paraId="0A0F3CB4">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多媒体演视台1套</w:t>
            </w:r>
          </w:p>
        </w:tc>
        <w:tc>
          <w:tcPr>
            <w:tcW w:w="3426" w:type="dxa"/>
            <w:shd w:val="clear" w:color="auto" w:fill="auto"/>
            <w:tcMar>
              <w:top w:w="0" w:type="dxa"/>
              <w:left w:w="36" w:type="dxa"/>
              <w:bottom w:w="0" w:type="dxa"/>
              <w:right w:w="36" w:type="dxa"/>
            </w:tcMar>
            <w:vAlign w:val="center"/>
          </w:tcPr>
          <w:p w14:paraId="74B871F5">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1、编写邮件分拣系统。</w:t>
            </w:r>
          </w:p>
          <w:p w14:paraId="3D09C0F2">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2、编写交通信号灯系统。</w:t>
            </w:r>
          </w:p>
          <w:p w14:paraId="744163BA">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3、编写自动成型系统模</w:t>
            </w:r>
          </w:p>
          <w:p w14:paraId="7C32A8C4">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4、编写天塔之光和多种液体混合搅拌系统</w:t>
            </w:r>
          </w:p>
          <w:p w14:paraId="7EE331A3">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 </w:t>
            </w:r>
          </w:p>
        </w:tc>
      </w:tr>
      <w:tr w14:paraId="12652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 w:hRule="atLeast"/>
          <w:tblCellSpacing w:w="0" w:type="dxa"/>
        </w:trPr>
        <w:tc>
          <w:tcPr>
            <w:tcW w:w="0" w:type="auto"/>
            <w:shd w:val="clear" w:color="auto" w:fill="auto"/>
            <w:tcMar>
              <w:top w:w="0" w:type="dxa"/>
              <w:left w:w="36" w:type="dxa"/>
              <w:bottom w:w="0" w:type="dxa"/>
              <w:right w:w="36" w:type="dxa"/>
            </w:tcMar>
            <w:vAlign w:val="center"/>
          </w:tcPr>
          <w:p w14:paraId="3EDF6195">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5</w:t>
            </w:r>
          </w:p>
        </w:tc>
        <w:tc>
          <w:tcPr>
            <w:tcW w:w="0" w:type="auto"/>
            <w:shd w:val="clear" w:color="auto" w:fill="auto"/>
            <w:tcMar>
              <w:top w:w="0" w:type="dxa"/>
              <w:left w:w="36" w:type="dxa"/>
              <w:bottom w:w="0" w:type="dxa"/>
              <w:right w:w="36" w:type="dxa"/>
            </w:tcMar>
            <w:vAlign w:val="center"/>
          </w:tcPr>
          <w:p w14:paraId="34F7D2F6">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钳工实训室</w:t>
            </w:r>
          </w:p>
        </w:tc>
        <w:tc>
          <w:tcPr>
            <w:tcW w:w="0" w:type="auto"/>
            <w:shd w:val="clear" w:color="auto" w:fill="auto"/>
            <w:tcMar>
              <w:top w:w="0" w:type="dxa"/>
              <w:left w:w="36" w:type="dxa"/>
              <w:bottom w:w="0" w:type="dxa"/>
              <w:right w:w="36" w:type="dxa"/>
            </w:tcMar>
            <w:vAlign w:val="center"/>
          </w:tcPr>
          <w:p w14:paraId="37D3771F">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配套钳工实训台25台</w:t>
            </w:r>
          </w:p>
          <w:p w14:paraId="0EC665C8">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台式钻床6台</w:t>
            </w:r>
          </w:p>
        </w:tc>
        <w:tc>
          <w:tcPr>
            <w:tcW w:w="3426" w:type="dxa"/>
            <w:shd w:val="clear" w:color="auto" w:fill="auto"/>
            <w:tcMar>
              <w:top w:w="0" w:type="dxa"/>
              <w:left w:w="36" w:type="dxa"/>
              <w:bottom w:w="0" w:type="dxa"/>
              <w:right w:w="36" w:type="dxa"/>
            </w:tcMar>
            <w:vAlign w:val="center"/>
          </w:tcPr>
          <w:p w14:paraId="69C979C2">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1、进行平面、立体划线；</w:t>
            </w:r>
          </w:p>
          <w:p w14:paraId="4D4F91DA">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2、进行正确测量与检测；</w:t>
            </w:r>
          </w:p>
          <w:p w14:paraId="5C8AEB3D">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3、锯割、锉削、錾削、钻孔、扩孔、锪孔、铰孔、攻丝、4、套丝加工；</w:t>
            </w:r>
          </w:p>
          <w:p w14:paraId="33F586AF">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5、锉配加工；</w:t>
            </w:r>
          </w:p>
          <w:p w14:paraId="06739C7C">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 </w:t>
            </w:r>
          </w:p>
        </w:tc>
      </w:tr>
    </w:tbl>
    <w:p w14:paraId="5D9B96DE">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仿宋_GB2312" w:hAnsi="仿宋_GB2312" w:eastAsia="仿宋_GB2312" w:cs="仿宋_GB2312"/>
          <w:b w:val="0"/>
          <w:bCs w:val="0"/>
          <w:sz w:val="32"/>
          <w:szCs w:val="32"/>
          <w:lang w:val="en-US" w:eastAsia="zh-CN"/>
        </w:rPr>
      </w:pPr>
    </w:p>
    <w:p w14:paraId="7E035663">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仿宋_GB2312" w:hAnsi="仿宋_GB2312" w:eastAsia="仿宋_GB2312" w:cs="仿宋_GB2312"/>
          <w:b w:val="0"/>
          <w:bCs w:val="0"/>
          <w:sz w:val="32"/>
          <w:szCs w:val="32"/>
          <w:lang w:val="en-US" w:eastAsia="zh-CN"/>
        </w:rPr>
      </w:pPr>
      <w:r>
        <w:rPr>
          <w:rStyle w:val="11"/>
          <w:rFonts w:hint="eastAsia" w:ascii="仿宋_GB2312" w:hAnsi="仿宋_GB2312" w:eastAsia="仿宋_GB2312" w:cs="仿宋_GB2312"/>
          <w:b w:val="0"/>
          <w:bCs w:val="0"/>
          <w:sz w:val="32"/>
          <w:szCs w:val="32"/>
          <w:lang w:val="en-US" w:eastAsia="zh-CN"/>
        </w:rPr>
        <w:t>3.校外实践教学条件</w:t>
      </w:r>
    </w:p>
    <w:p w14:paraId="5A543EC7">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楷体" w:hAnsi="楷体" w:eastAsia="楷体" w:cs="楷体"/>
          <w:b w:val="0"/>
          <w:bCs w:val="0"/>
          <w:sz w:val="32"/>
          <w:szCs w:val="32"/>
        </w:rPr>
      </w:pPr>
      <w:r>
        <w:rPr>
          <w:rStyle w:val="11"/>
          <w:rFonts w:hint="eastAsia" w:ascii="仿宋_GB2312" w:hAnsi="仿宋_GB2312" w:eastAsia="仿宋_GB2312" w:cs="仿宋_GB2312"/>
          <w:b w:val="0"/>
          <w:bCs w:val="0"/>
          <w:sz w:val="32"/>
          <w:szCs w:val="32"/>
        </w:rPr>
        <w:t>建立校外实习基地3-5所，与</w:t>
      </w:r>
      <w:r>
        <w:rPr>
          <w:rStyle w:val="11"/>
          <w:rFonts w:hint="eastAsia" w:ascii="仿宋_GB2312" w:hAnsi="仿宋_GB2312" w:eastAsia="仿宋_GB2312" w:cs="仿宋_GB2312"/>
          <w:b w:val="0"/>
          <w:bCs w:val="0"/>
          <w:sz w:val="32"/>
          <w:szCs w:val="32"/>
          <w:lang w:val="en-US" w:eastAsia="zh-CN"/>
        </w:rPr>
        <w:t>广泰空港股份有限公司</w:t>
      </w:r>
      <w:r>
        <w:rPr>
          <w:rStyle w:val="11"/>
          <w:rFonts w:hint="eastAsia" w:ascii="仿宋_GB2312" w:hAnsi="仿宋_GB2312" w:eastAsia="仿宋_GB2312" w:cs="仿宋_GB2312"/>
          <w:b w:val="0"/>
          <w:bCs w:val="0"/>
          <w:sz w:val="32"/>
          <w:szCs w:val="32"/>
        </w:rPr>
        <w:t>、</w:t>
      </w:r>
      <w:r>
        <w:rPr>
          <w:rStyle w:val="11"/>
          <w:rFonts w:hint="eastAsia" w:ascii="仿宋_GB2312" w:hAnsi="仿宋_GB2312" w:eastAsia="仿宋_GB2312" w:cs="仿宋_GB2312"/>
          <w:b w:val="0"/>
          <w:bCs w:val="0"/>
          <w:sz w:val="32"/>
          <w:szCs w:val="32"/>
          <w:lang w:val="en-US" w:eastAsia="zh-CN"/>
        </w:rPr>
        <w:t>威海北新信息技术股份有限公司</w:t>
      </w:r>
      <w:r>
        <w:rPr>
          <w:rStyle w:val="11"/>
          <w:rFonts w:hint="eastAsia" w:ascii="仿宋_GB2312" w:hAnsi="仿宋_GB2312" w:eastAsia="仿宋_GB2312" w:cs="仿宋_GB2312"/>
          <w:b w:val="0"/>
          <w:bCs w:val="0"/>
          <w:sz w:val="32"/>
          <w:szCs w:val="32"/>
        </w:rPr>
        <w:t>、</w:t>
      </w:r>
      <w:r>
        <w:rPr>
          <w:rStyle w:val="11"/>
          <w:rFonts w:hint="eastAsia" w:ascii="仿宋_GB2312" w:hAnsi="仿宋_GB2312" w:eastAsia="仿宋_GB2312" w:cs="仿宋_GB2312"/>
          <w:b w:val="0"/>
          <w:bCs w:val="0"/>
          <w:sz w:val="32"/>
          <w:szCs w:val="32"/>
          <w:lang w:val="en-US" w:eastAsia="zh-CN"/>
        </w:rPr>
        <w:t>山东威达集团</w:t>
      </w:r>
      <w:r>
        <w:rPr>
          <w:rStyle w:val="11"/>
          <w:rFonts w:hint="eastAsia" w:ascii="仿宋_GB2312" w:hAnsi="仿宋_GB2312" w:eastAsia="仿宋_GB2312" w:cs="仿宋_GB2312"/>
          <w:b w:val="0"/>
          <w:bCs w:val="0"/>
          <w:sz w:val="32"/>
          <w:szCs w:val="32"/>
        </w:rPr>
        <w:t>有限公司等建立长期稳定的合作。充分满足顶岗实习、毕业综合实习的需要，形成专业与企业共同管理、共同指导、共同评价的运作机制，保证本专业人才培养模式的顺利实施。结合专业建设，紧密联系行业，形成专业技术人员互聘互用、校企共同开展项目研究和产品研发的校外实训基地的长效运行机制。</w:t>
      </w:r>
    </w:p>
    <w:p w14:paraId="11594BE7">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楷体" w:hAnsi="楷体" w:eastAsia="楷体" w:cs="楷体"/>
          <w:b w:val="0"/>
          <w:bCs w:val="0"/>
          <w:sz w:val="32"/>
          <w:szCs w:val="32"/>
        </w:rPr>
      </w:pPr>
      <w:r>
        <w:rPr>
          <w:rStyle w:val="11"/>
          <w:rFonts w:hint="eastAsia" w:ascii="楷体" w:hAnsi="楷体" w:eastAsia="楷体" w:cs="楷体"/>
          <w:b w:val="0"/>
          <w:bCs w:val="0"/>
          <w:sz w:val="32"/>
          <w:szCs w:val="32"/>
        </w:rPr>
        <w:t>（三）教学资源</w:t>
      </w:r>
    </w:p>
    <w:p w14:paraId="2727CDE2">
      <w:pPr>
        <w:pStyle w:val="2"/>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left="0" w:leftChars="0" w:right="424" w:firstLine="640" w:firstLineChars="200"/>
        <w:jc w:val="both"/>
        <w:textAlignment w:val="auto"/>
        <w:rPr>
          <w:rStyle w:val="11"/>
          <w:rFonts w:hint="eastAsia" w:ascii="仿宋_GB2312" w:hAnsi="仿宋_GB2312" w:eastAsia="仿宋_GB2312" w:cs="仿宋_GB2312"/>
          <w:b w:val="0"/>
          <w:bCs w:val="0"/>
          <w:kern w:val="0"/>
          <w:sz w:val="32"/>
          <w:szCs w:val="32"/>
          <w:lang w:val="en-US" w:eastAsia="zh-CN" w:bidi="ar"/>
        </w:rPr>
      </w:pPr>
      <w:r>
        <w:rPr>
          <w:rStyle w:val="11"/>
          <w:rFonts w:hint="eastAsia" w:ascii="仿宋_GB2312" w:hAnsi="仿宋_GB2312" w:eastAsia="仿宋_GB2312" w:cs="仿宋_GB2312"/>
          <w:b w:val="0"/>
          <w:bCs w:val="0"/>
          <w:kern w:val="0"/>
          <w:sz w:val="32"/>
          <w:szCs w:val="32"/>
          <w:lang w:val="en-US" w:eastAsia="zh-CN" w:bidi="ar"/>
        </w:rPr>
        <w:t>1.根据课程教学标准，结合应用能力的培养要求，开发符合课程教学特点的多媒体教学课件。课件要求汇集相关的教学素材，提供课程各知识点，形成教学资源库。各任课教师在此基础上组织教学课件，形成具有个人风格和专业特色的课件。</w:t>
      </w:r>
    </w:p>
    <w:p w14:paraId="157C3087">
      <w:pPr>
        <w:pStyle w:val="2"/>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left="0" w:leftChars="0" w:right="394" w:firstLine="640" w:firstLineChars="200"/>
        <w:jc w:val="both"/>
        <w:textAlignment w:val="auto"/>
        <w:rPr>
          <w:rStyle w:val="11"/>
          <w:rFonts w:hint="eastAsia" w:ascii="仿宋_GB2312" w:hAnsi="仿宋_GB2312" w:eastAsia="仿宋_GB2312" w:cs="仿宋_GB2312"/>
          <w:b w:val="0"/>
          <w:bCs w:val="0"/>
          <w:kern w:val="0"/>
          <w:sz w:val="32"/>
          <w:szCs w:val="32"/>
          <w:lang w:val="en-US" w:eastAsia="zh-CN" w:bidi="ar"/>
        </w:rPr>
      </w:pPr>
      <w:r>
        <w:rPr>
          <w:rStyle w:val="11"/>
          <w:rFonts w:hint="eastAsia" w:ascii="仿宋_GB2312" w:hAnsi="仿宋_GB2312" w:eastAsia="仿宋_GB2312" w:cs="仿宋_GB2312"/>
          <w:b w:val="0"/>
          <w:bCs w:val="0"/>
          <w:kern w:val="0"/>
          <w:sz w:val="32"/>
          <w:szCs w:val="32"/>
          <w:lang w:val="en-US" w:eastAsia="zh-CN" w:bidi="ar"/>
        </w:rPr>
        <w:t>2.建议相关课程积累各种案例资源。案例库包含案例的文字说明和案例的效果演示，并组织实践经验强的教师进行数字化教学资源的开发。</w:t>
      </w:r>
    </w:p>
    <w:p w14:paraId="3955191D">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ascii="仿宋_GB2312" w:hAnsi="仿宋_GB2312" w:eastAsia="仿宋_GB2312" w:cs="仿宋_GB2312"/>
          <w:b w:val="0"/>
          <w:bCs w:val="0"/>
          <w:spacing w:val="0"/>
          <w:kern w:val="56"/>
          <w:sz w:val="32"/>
          <w:szCs w:val="32"/>
        </w:rPr>
      </w:pPr>
      <w:r>
        <w:rPr>
          <w:rStyle w:val="11"/>
          <w:rFonts w:hint="eastAsia" w:ascii="仿宋_GB2312" w:hAnsi="仿宋_GB2312" w:eastAsia="仿宋_GB2312" w:cs="仿宋_GB2312"/>
          <w:b w:val="0"/>
          <w:bCs w:val="0"/>
          <w:kern w:val="0"/>
          <w:sz w:val="32"/>
          <w:szCs w:val="32"/>
          <w:lang w:val="en-US" w:eastAsia="zh-CN" w:bidi="ar"/>
        </w:rPr>
        <w:t>3.充分利用教材、多媒体课件、考试模拟软件和网络，采用灵活多样的教学方法，激发学生的学习兴趣，促进学生对知识的理解和掌握，尽可能收集、制作与教学内容相配套的授课录像、课程标准、电子教案、教学活动设计方案、项目案例、授课计划、实训指导、学习指南、网络资源、试题题库等满足不同教学需求的数字化教学资源，为教师教学与学生学习提供较为全面的支持</w:t>
      </w:r>
    </w:p>
    <w:p w14:paraId="55B8DF15">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仿宋_GB2312" w:hAnsi="仿宋_GB2312" w:eastAsia="仿宋_GB2312" w:cs="仿宋_GB2312"/>
          <w:b w:val="0"/>
          <w:bCs w:val="0"/>
          <w:spacing w:val="0"/>
          <w:kern w:val="56"/>
          <w:sz w:val="32"/>
          <w:szCs w:val="32"/>
          <w:lang w:val="zh-CN" w:eastAsia="zh-CN"/>
        </w:rPr>
      </w:pPr>
      <w:bookmarkStart w:id="22" w:name="_bookmark20"/>
      <w:bookmarkEnd w:id="22"/>
      <w:r>
        <w:rPr>
          <w:rFonts w:hint="eastAsia" w:ascii="仿宋_GB2312" w:hAnsi="仿宋_GB2312" w:eastAsia="仿宋_GB2312" w:cs="仿宋_GB2312"/>
          <w:b w:val="0"/>
          <w:bCs w:val="0"/>
          <w:spacing w:val="0"/>
          <w:kern w:val="56"/>
          <w:sz w:val="32"/>
          <w:szCs w:val="32"/>
          <w:lang w:val="zh-CN" w:eastAsia="zh-CN"/>
        </w:rPr>
        <w:t>（四）教学方法</w:t>
      </w:r>
    </w:p>
    <w:p w14:paraId="7EB3174A">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lang w:val="zh-CN" w:eastAsia="zh-CN"/>
        </w:rPr>
      </w:pPr>
      <w:r>
        <w:rPr>
          <w:rFonts w:ascii="仿宋_GB2312" w:hAnsi="仿宋_GB2312" w:eastAsia="仿宋_GB2312" w:cs="仿宋_GB2312"/>
          <w:b w:val="0"/>
          <w:bCs w:val="0"/>
          <w:spacing w:val="0"/>
          <w:kern w:val="56"/>
          <w:sz w:val="32"/>
          <w:szCs w:val="32"/>
          <w:lang w:val="zh-CN" w:eastAsia="zh-CN"/>
        </w:rPr>
        <w:t xml:space="preserve">以企业调研为基础，根据企业工作过程进行课程教学设计，实施以真实工作任务或社会产品为载体的教学方法，采用项目驱动、任务引领、案例教学、情景活动教学等，充分利用现代信息技术，落实以学生为中心、以能力为本位，尽量采用“做中学” 的教学模式，突出职业能力和素质培养。 </w:t>
      </w:r>
    </w:p>
    <w:p w14:paraId="250B5B64">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仿宋_GB2312" w:hAnsi="仿宋_GB2312" w:eastAsia="仿宋_GB2312" w:cs="仿宋_GB2312"/>
          <w:b w:val="0"/>
          <w:bCs w:val="0"/>
          <w:spacing w:val="0"/>
          <w:kern w:val="56"/>
          <w:sz w:val="32"/>
          <w:szCs w:val="32"/>
        </w:rPr>
      </w:pPr>
      <w:bookmarkStart w:id="23" w:name="_bookmark21"/>
      <w:bookmarkEnd w:id="23"/>
      <w:r>
        <w:rPr>
          <w:rFonts w:hint="eastAsia" w:ascii="仿宋_GB2312" w:hAnsi="仿宋_GB2312" w:eastAsia="仿宋_GB2312" w:cs="仿宋_GB2312"/>
          <w:b w:val="0"/>
          <w:bCs w:val="0"/>
          <w:spacing w:val="0"/>
          <w:kern w:val="56"/>
          <w:sz w:val="32"/>
          <w:szCs w:val="32"/>
        </w:rPr>
        <w:t>（五）教学评价</w:t>
      </w:r>
    </w:p>
    <w:p w14:paraId="6682FA69">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所有学科由理论考试、实践和平时成绩确定总成绩，实践和平时成绩占30%。由专业教师根据制作质量和效果组织评比，现场给出成绩。</w:t>
      </w:r>
    </w:p>
    <w:p w14:paraId="7845ED91">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1.改革传统的“一考</w:t>
      </w:r>
      <w:r>
        <w:rPr>
          <w:rFonts w:hint="eastAsia" w:ascii="仿宋_GB2312" w:hAnsi="仿宋_GB2312" w:eastAsia="仿宋_GB2312" w:cs="仿宋_GB2312"/>
          <w:b w:val="0"/>
          <w:bCs w:val="0"/>
          <w:spacing w:val="0"/>
          <w:kern w:val="56"/>
          <w:sz w:val="32"/>
          <w:szCs w:val="32"/>
          <w:lang w:val="zh-CN" w:eastAsia="zh-CN"/>
        </w:rPr>
        <w:t>定终身”的学习结果评价手段，注重学生平时表现和学习过程的评价，评价</w:t>
      </w:r>
      <w:r>
        <w:rPr>
          <w:rFonts w:ascii="仿宋_GB2312" w:hAnsi="仿宋_GB2312" w:eastAsia="仿宋_GB2312" w:cs="仿宋_GB2312"/>
          <w:b w:val="0"/>
          <w:bCs w:val="0"/>
          <w:spacing w:val="0"/>
          <w:kern w:val="56"/>
          <w:sz w:val="32"/>
          <w:szCs w:val="32"/>
        </w:rPr>
        <w:t>学生应用知识的能力，侧重学生的职业能力考核。</w:t>
      </w:r>
    </w:p>
    <w:p w14:paraId="31403945">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仿宋_GB2312" w:hAnsi="仿宋_GB2312" w:eastAsia="仿宋_GB2312" w:cs="仿宋_GB2312"/>
          <w:b w:val="0"/>
          <w:bCs w:val="0"/>
          <w:spacing w:val="0"/>
          <w:kern w:val="56"/>
          <w:sz w:val="32"/>
          <w:szCs w:val="32"/>
          <w:lang w:val="zh-CN" w:eastAsia="zh-CN"/>
        </w:rPr>
      </w:pPr>
      <w:r>
        <w:rPr>
          <w:rFonts w:ascii="仿宋_GB2312" w:hAnsi="仿宋_GB2312" w:eastAsia="仿宋_GB2312" w:cs="仿宋_GB2312"/>
          <w:b w:val="0"/>
          <w:bCs w:val="0"/>
          <w:spacing w:val="0"/>
          <w:kern w:val="56"/>
          <w:sz w:val="32"/>
          <w:szCs w:val="32"/>
        </w:rPr>
        <w:t>2.关注评价的多元性。结合学生的学习态度、工作作风，每个任务的完成情况综合评价学生</w:t>
      </w:r>
      <w:r>
        <w:rPr>
          <w:rFonts w:hint="eastAsia" w:ascii="仿宋_GB2312" w:hAnsi="仿宋_GB2312" w:eastAsia="仿宋_GB2312" w:cs="仿宋_GB2312"/>
          <w:b w:val="0"/>
          <w:bCs w:val="0"/>
          <w:spacing w:val="0"/>
          <w:kern w:val="56"/>
          <w:sz w:val="32"/>
          <w:szCs w:val="32"/>
          <w:lang w:val="zh-CN" w:eastAsia="zh-CN"/>
        </w:rPr>
        <w:t>的成绩。因为采用的是任务驱动型教学模式，所以以学习过程评价为主，最后的成绩主要是各个任务评价成绩之和。</w:t>
      </w:r>
    </w:p>
    <w:p w14:paraId="6A6FFCBC">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仿宋_GB2312" w:hAnsi="仿宋_GB2312" w:eastAsia="仿宋_GB2312" w:cs="仿宋_GB2312"/>
          <w:b w:val="0"/>
          <w:bCs w:val="0"/>
          <w:spacing w:val="0"/>
          <w:kern w:val="56"/>
          <w:sz w:val="32"/>
          <w:szCs w:val="32"/>
          <w:lang w:val="zh-CN" w:eastAsia="zh-CN"/>
        </w:rPr>
      </w:pPr>
      <w:bookmarkStart w:id="24" w:name="_bookmark22"/>
      <w:bookmarkEnd w:id="24"/>
      <w:r>
        <w:rPr>
          <w:rFonts w:hint="eastAsia" w:ascii="仿宋_GB2312" w:hAnsi="仿宋_GB2312" w:eastAsia="仿宋_GB2312" w:cs="仿宋_GB2312"/>
          <w:b w:val="0"/>
          <w:bCs w:val="0"/>
          <w:spacing w:val="0"/>
          <w:kern w:val="56"/>
          <w:sz w:val="32"/>
          <w:szCs w:val="32"/>
          <w:lang w:val="zh-CN" w:eastAsia="zh-CN"/>
        </w:rPr>
        <w:t>（六）质量管理</w:t>
      </w:r>
    </w:p>
    <w:p w14:paraId="4752A519">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1.建设教育教学管理与质量监控体系</w:t>
      </w:r>
    </w:p>
    <w:p w14:paraId="62B9CC7F">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加强授课计划和备课工作管理，搞好评教评学工作，加强课堂和实训抽查、保证各项理论教学和实训教学顺得进行。学校教务处、学生处、督察处、各系务科、各系学生科采用定期与随时抽查的办法加强教师与学生的常规检查与教学管理，并及时反馈相关信息，加强教学管理、提高考学质量。</w:t>
      </w:r>
    </w:p>
    <w:p w14:paraId="22867FCD">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2.加强质量管理制度建设</w:t>
      </w:r>
    </w:p>
    <w:p w14:paraId="5592FEE6">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制定了教师教学工作业绩考核办法、班主任量化考核办法，制定了学生守则、学生成绩管理办法、学生实习管理规定等。</w:t>
      </w:r>
    </w:p>
    <w:p w14:paraId="500DF859">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3.实践教学基地的质量检测</w:t>
      </w:r>
    </w:p>
    <w:p w14:paraId="23FE4FB4">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为促进实践教学基地建设，督促学生认真完成实训实习任务，确保实习教学质量，学校组织实践教学基地的质量检测，其内容与方式包括：</w:t>
      </w:r>
    </w:p>
    <w:p w14:paraId="679B75ED">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1）听取基地管理人员教学工作汇报、访谈教师代表，了解专业实习计划的组织落实、基地教学投入、教学管理以及专业实习生的思想动态，学习、生活和日常表现等情况，听取基地对实习管理工作的意见和建议等。</w:t>
      </w:r>
    </w:p>
    <w:p w14:paraId="5D615591">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（2）查阅教学管理文件制度、教学安排及运行档案资料，学生实训、实习材料等情况。</w:t>
      </w:r>
    </w:p>
    <w:p w14:paraId="7E9ABC31">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（3）召开实训、实习生座谈会，了解基地的管理与带教情况，以及学校和基地在实习管理工作中的经验或存在问题等。</w:t>
      </w:r>
    </w:p>
    <w:p w14:paraId="31FE5F98">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（4）抽查学生技能操作训练情况。</w:t>
      </w:r>
    </w:p>
    <w:p w14:paraId="386F8047">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4.开展专业与课程建设质量评估工作</w:t>
      </w:r>
    </w:p>
    <w:p w14:paraId="7C7A1C67">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开展专业与课程建设质量评估工作是以“以评促建，以评促改，以评促管，评建结合，重在建设”的指导方针。通过专业与课程建设质量评估工作，加强学校对专业与课程建设的指导和管理，全面提高专业课程建设的质量。专业与课程建设质量评估工作包括教师队伍、教学内容、教学方法与手段、教学条件、教学效果等内容。</w:t>
      </w:r>
    </w:p>
    <w:p w14:paraId="3B9AE185">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hint="eastAsia" w:ascii="黑体" w:hAnsi="黑体" w:eastAsia="黑体" w:cs="黑体"/>
          <w:b w:val="0"/>
          <w:bCs w:val="0"/>
          <w:spacing w:val="0"/>
          <w:kern w:val="56"/>
          <w:sz w:val="32"/>
          <w:szCs w:val="32"/>
        </w:rPr>
      </w:pPr>
      <w:bookmarkStart w:id="25" w:name="_bookmark23"/>
      <w:bookmarkEnd w:id="25"/>
      <w:r>
        <w:rPr>
          <w:rFonts w:hint="eastAsia" w:ascii="黑体" w:hAnsi="黑体" w:eastAsia="黑体" w:cs="黑体"/>
          <w:b w:val="0"/>
          <w:bCs w:val="0"/>
          <w:spacing w:val="0"/>
          <w:kern w:val="56"/>
          <w:sz w:val="32"/>
          <w:szCs w:val="32"/>
          <w:lang w:val="en-US" w:eastAsia="zh-CN"/>
        </w:rPr>
        <w:t>九</w:t>
      </w:r>
      <w:r>
        <w:rPr>
          <w:rFonts w:hint="eastAsia" w:ascii="黑体" w:hAnsi="黑体" w:eastAsia="黑体" w:cs="黑体"/>
          <w:b w:val="0"/>
          <w:bCs w:val="0"/>
          <w:spacing w:val="0"/>
          <w:kern w:val="56"/>
          <w:sz w:val="32"/>
          <w:szCs w:val="32"/>
        </w:rPr>
        <w:t>、毕业要求</w:t>
      </w:r>
    </w:p>
    <w:p w14:paraId="080C18FD">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（一）在校期间须自觉遵守学校各项规章制度。</w:t>
      </w:r>
    </w:p>
    <w:p w14:paraId="7CB3B37C">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（二）语文、数学、英语、计算机等公共基础课程考试成绩须合格。</w:t>
      </w:r>
    </w:p>
    <w:p w14:paraId="2DF3B9EF">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（三）按规定修完所有专业技能课课程，各科成绩合格；鼓励学生参加各项职业资格证书和“1+X”技能等级证书的考取。</w:t>
      </w:r>
    </w:p>
    <w:p w14:paraId="1486B908">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 xml:space="preserve">（四）入学军训教育成绩必须合格；体育成绩合格，基本达到国家学生体质测试标准。 </w:t>
      </w:r>
    </w:p>
    <w:p w14:paraId="530E0EA2">
      <w:pPr>
        <w:pStyle w:val="2"/>
        <w:keepNext w:val="0"/>
        <w:keepLines w:val="0"/>
        <w:pageBreakBefore w:val="0"/>
        <w:widowControl w:val="0"/>
        <w:kinsoku/>
        <w:wordWrap/>
        <w:overflowPunct/>
        <w:topLinePunct w:val="0"/>
        <w:autoSpaceDE w:val="0"/>
        <w:autoSpaceDN w:val="0"/>
        <w:bidi w:val="0"/>
        <w:adjustRightInd/>
        <w:snapToGrid/>
        <w:spacing w:line="560" w:lineRule="exact"/>
        <w:ind w:left="0" w:right="0" w:firstLine="640" w:firstLineChars="200"/>
        <w:textAlignment w:val="auto"/>
        <w:rPr>
          <w:rFonts w:ascii="仿宋_GB2312" w:hAnsi="仿宋_GB2312" w:eastAsia="仿宋_GB2312" w:cs="仿宋_GB2312"/>
          <w:b w:val="0"/>
          <w:bCs w:val="0"/>
          <w:spacing w:val="0"/>
          <w:kern w:val="56"/>
          <w:sz w:val="32"/>
          <w:szCs w:val="32"/>
        </w:rPr>
      </w:pPr>
      <w:r>
        <w:rPr>
          <w:rFonts w:ascii="仿宋_GB2312" w:hAnsi="仿宋_GB2312" w:eastAsia="仿宋_GB2312" w:cs="仿宋_GB2312"/>
          <w:b w:val="0"/>
          <w:bCs w:val="0"/>
          <w:spacing w:val="0"/>
          <w:kern w:val="56"/>
          <w:sz w:val="32"/>
          <w:szCs w:val="32"/>
        </w:rPr>
        <w:t>（五）第三年参加跟岗、顶岗实习，并取得企业实习合格鉴定书。</w:t>
      </w:r>
    </w:p>
    <w:sectPr>
      <w:footerReference r:id="rId3" w:type="default"/>
      <w:pgSz w:w="11910" w:h="16840"/>
      <w:pgMar w:top="2098" w:right="1474" w:bottom="1984" w:left="1587" w:header="0" w:footer="1019"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BBFC09F-8675-4878-8BB9-884B1739E0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embedRegular r:id="rId2" w:fontKey="{FB079C3A-5161-4707-B0E3-AA95FD380B2A}"/>
  </w:font>
  <w:font w:name="仿宋_GB2312">
    <w:altName w:val="仿宋"/>
    <w:panose1 w:val="02010609030101010101"/>
    <w:charset w:val="86"/>
    <w:family w:val="modern"/>
    <w:pitch w:val="default"/>
    <w:sig w:usb0="00000000" w:usb1="00000000" w:usb2="00000000" w:usb3="00000000" w:csb0="00040000" w:csb1="00000000"/>
    <w:embedRegular r:id="rId3" w:fontKey="{9314B48B-AFBE-4089-987C-D4C5992F9058}"/>
  </w:font>
  <w:font w:name="楷体">
    <w:panose1 w:val="02010609060101010101"/>
    <w:charset w:val="86"/>
    <w:family w:val="auto"/>
    <w:pitch w:val="default"/>
    <w:sig w:usb0="800002BF" w:usb1="38CF7CFA" w:usb2="00000016" w:usb3="00000000" w:csb0="00040001" w:csb1="00000000"/>
    <w:embedRegular r:id="rId4" w:fontKey="{300538BF-3245-4217-8204-01FFBD0203F5}"/>
  </w:font>
  <w:font w:name="仿宋">
    <w:panose1 w:val="02010609060101010101"/>
    <w:charset w:val="86"/>
    <w:family w:val="modern"/>
    <w:pitch w:val="default"/>
    <w:sig w:usb0="800002BF" w:usb1="38CF7CFA" w:usb2="00000016" w:usb3="00000000" w:csb0="00040001" w:csb1="00000000"/>
    <w:embedRegular r:id="rId5" w:fontKey="{EE0A4395-C38C-4D03-B265-5F7C6944914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0747F">
    <w:pPr>
      <w:pStyle w:val="2"/>
      <w:spacing w:line="14" w:lineRule="auto"/>
      <w:ind w:left="0"/>
      <w:rPr>
        <w:sz w:val="20"/>
      </w:rPr>
    </w:pPr>
    <w:r>
      <w:rPr>
        <w:lang w:val="en-US" w:bidi="ar-SA"/>
      </w:rPr>
      <mc:AlternateContent>
        <mc:Choice Requires="wps">
          <w:drawing>
            <wp:anchor distT="0" distB="0" distL="114300" distR="114300" simplePos="0" relativeHeight="251659264" behindDoc="0" locked="0" layoutInCell="1" allowOverlap="1">
              <wp:simplePos x="0" y="0"/>
              <wp:positionH relativeFrom="margin">
                <wp:posOffset>2533015</wp:posOffset>
              </wp:positionH>
              <wp:positionV relativeFrom="page">
                <wp:posOffset>9745980</wp:posOffset>
              </wp:positionV>
              <wp:extent cx="457200" cy="238125"/>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457200" cy="238125"/>
                      </a:xfrm>
                      <a:prstGeom prst="rect">
                        <a:avLst/>
                      </a:prstGeom>
                      <a:noFill/>
                      <a:ln>
                        <a:noFill/>
                      </a:ln>
                    </wps:spPr>
                    <wps:txbx>
                      <w:txbxContent>
                        <w:p w14:paraId="0BB38BD9">
                          <w:pPr>
                            <w:spacing w:before="12"/>
                            <w:ind w:left="4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199.45pt;margin-top:767.4pt;height:18.75pt;width:36pt;mso-position-horizontal-relative:margin;mso-position-vertical-relative:page;z-index:251659264;mso-width-relative:page;mso-height-relative:page;" filled="f" stroked="f" coordsize="21600,21600" o:gfxdata="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PbMMT2wAAAA0BAAAPAAAAAAAAAAEAIAAAACIAAABkcnMvZG93bnJl&#10;di54bWxQSwECFAAUAAAACACHTuJAYESEr/oBAAADBAAADgAAAAAAAAABACAAAAAqAQAAZHJzL2Uy&#10;b0RvYy54bWxQSwUGAAAAAAYABgBZAQAAlgUAAAAA&#10;">
              <v:fill on="f" focussize="0,0"/>
              <v:stroke on="f"/>
              <v:imagedata o:title=""/>
              <o:lock v:ext="edit" aspectratio="f"/>
              <v:textbox inset="0mm,0mm,0mm,0mm">
                <w:txbxContent>
                  <w:p w14:paraId="0BB38BD9">
                    <w:pPr>
                      <w:spacing w:before="12"/>
                      <w:ind w:left="4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1714F"/>
    <w:multiLevelType w:val="singleLevel"/>
    <w:tmpl w:val="8FB1714F"/>
    <w:lvl w:ilvl="0" w:tentative="0">
      <w:start w:val="12"/>
      <w:numFmt w:val="decimal"/>
      <w:lvlText w:val="%1."/>
      <w:lvlJc w:val="left"/>
      <w:pPr>
        <w:tabs>
          <w:tab w:val="left" w:pos="312"/>
        </w:tabs>
        <w:ind w:left="640" w:leftChars="0" w:firstLine="0" w:firstLineChars="0"/>
      </w:pPr>
    </w:lvl>
  </w:abstractNum>
  <w:abstractNum w:abstractNumId="1">
    <w:nsid w:val="4C48BBE8"/>
    <w:multiLevelType w:val="singleLevel"/>
    <w:tmpl w:val="4C48BBE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ZWYyMzNlODQ1NDUxZmM3Mjg3YzQ5ZjA2ZTY3ZmEifQ=="/>
    <w:docVar w:name="KSO_WPS_MARK_KEY" w:val="b0761dd7-1f3d-4900-8795-212466fc709e"/>
  </w:docVars>
  <w:rsids>
    <w:rsidRoot w:val="00D766AC"/>
    <w:rsid w:val="000152D5"/>
    <w:rsid w:val="00037604"/>
    <w:rsid w:val="00110452"/>
    <w:rsid w:val="00261B3F"/>
    <w:rsid w:val="00394B5C"/>
    <w:rsid w:val="003B288A"/>
    <w:rsid w:val="003B5ABB"/>
    <w:rsid w:val="003C7017"/>
    <w:rsid w:val="00403BEC"/>
    <w:rsid w:val="00412DBC"/>
    <w:rsid w:val="004A20BE"/>
    <w:rsid w:val="004F1C8A"/>
    <w:rsid w:val="0054381A"/>
    <w:rsid w:val="005A3512"/>
    <w:rsid w:val="00603CDD"/>
    <w:rsid w:val="0065402D"/>
    <w:rsid w:val="006A649A"/>
    <w:rsid w:val="007517F0"/>
    <w:rsid w:val="0077068B"/>
    <w:rsid w:val="00793AFC"/>
    <w:rsid w:val="007F17F5"/>
    <w:rsid w:val="00801F8D"/>
    <w:rsid w:val="008054B5"/>
    <w:rsid w:val="00853EE2"/>
    <w:rsid w:val="0088057D"/>
    <w:rsid w:val="008B0553"/>
    <w:rsid w:val="00955259"/>
    <w:rsid w:val="00A402A5"/>
    <w:rsid w:val="00B21422"/>
    <w:rsid w:val="00B21996"/>
    <w:rsid w:val="00C037EA"/>
    <w:rsid w:val="00C9112C"/>
    <w:rsid w:val="00CA559B"/>
    <w:rsid w:val="00CD6561"/>
    <w:rsid w:val="00D04CFE"/>
    <w:rsid w:val="00D17F62"/>
    <w:rsid w:val="00D766AC"/>
    <w:rsid w:val="00DC5B9D"/>
    <w:rsid w:val="00E344B7"/>
    <w:rsid w:val="00EC1104"/>
    <w:rsid w:val="00EC129B"/>
    <w:rsid w:val="00F72B4D"/>
    <w:rsid w:val="00FA3E52"/>
    <w:rsid w:val="012852E4"/>
    <w:rsid w:val="05AD47A8"/>
    <w:rsid w:val="094B0300"/>
    <w:rsid w:val="0F6A77C1"/>
    <w:rsid w:val="100620E8"/>
    <w:rsid w:val="1017657C"/>
    <w:rsid w:val="156859D3"/>
    <w:rsid w:val="19F0679E"/>
    <w:rsid w:val="1A8F487A"/>
    <w:rsid w:val="43F035BC"/>
    <w:rsid w:val="48DF6015"/>
    <w:rsid w:val="4ADE10D9"/>
    <w:rsid w:val="4E607A86"/>
    <w:rsid w:val="4EC82582"/>
    <w:rsid w:val="51B44C1C"/>
    <w:rsid w:val="52794453"/>
    <w:rsid w:val="534C5B09"/>
    <w:rsid w:val="55B94FAC"/>
    <w:rsid w:val="6344059F"/>
    <w:rsid w:val="64CD1803"/>
    <w:rsid w:val="668B789A"/>
    <w:rsid w:val="68D01D52"/>
    <w:rsid w:val="690D143F"/>
    <w:rsid w:val="7003581C"/>
    <w:rsid w:val="797D7F1B"/>
    <w:rsid w:val="7B1D1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ind w:left="488"/>
      <w:outlineLvl w:val="0"/>
    </w:pPr>
    <w:rPr>
      <w:rFonts w:ascii="方正小标宋简体" w:hAnsi="方正小标宋简体" w:eastAsia="方正小标宋简体" w:cs="方正小标宋简体"/>
      <w:sz w:val="36"/>
      <w:szCs w:val="36"/>
    </w:rPr>
  </w:style>
  <w:style w:type="paragraph" w:styleId="4">
    <w:name w:val="heading 2"/>
    <w:basedOn w:val="1"/>
    <w:next w:val="1"/>
    <w:qFormat/>
    <w:uiPriority w:val="1"/>
    <w:pPr>
      <w:spacing w:before="125"/>
      <w:ind w:left="901"/>
      <w:outlineLvl w:val="1"/>
    </w:pPr>
    <w:rPr>
      <w:b/>
      <w:bCs/>
      <w:sz w:val="24"/>
      <w:szCs w:val="24"/>
    </w:rPr>
  </w:style>
  <w:style w:type="paragraph" w:styleId="5">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419"/>
    </w:pPr>
    <w:rPr>
      <w:sz w:val="24"/>
      <w:szCs w:val="24"/>
    </w:rPr>
  </w:style>
  <w:style w:type="paragraph" w:styleId="6">
    <w:name w:val="footer"/>
    <w:basedOn w:val="1"/>
    <w:link w:val="17"/>
    <w:unhideWhenUsed/>
    <w:qFormat/>
    <w:uiPriority w:val="99"/>
    <w:pPr>
      <w:tabs>
        <w:tab w:val="center" w:pos="4153"/>
        <w:tab w:val="right" w:pos="8306"/>
      </w:tabs>
      <w:snapToGrid w:val="0"/>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rPr>
  </w:style>
  <w:style w:type="character" w:styleId="11">
    <w:name w:val="Strong"/>
    <w:basedOn w:val="10"/>
    <w:qFormat/>
    <w:uiPriority w:val="22"/>
    <w:rPr>
      <w:b/>
    </w:rPr>
  </w:style>
  <w:style w:type="character" w:styleId="12">
    <w:name w:val="Emphasis"/>
    <w:basedOn w:val="10"/>
    <w:qFormat/>
    <w:uiPriority w:val="20"/>
    <w:rPr>
      <w:i/>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style>
  <w:style w:type="paragraph" w:customStyle="1" w:styleId="15">
    <w:name w:val="Table Paragraph"/>
    <w:basedOn w:val="1"/>
    <w:qFormat/>
    <w:uiPriority w:val="1"/>
    <w:pPr>
      <w:spacing w:before="50"/>
      <w:jc w:val="center"/>
    </w:pPr>
  </w:style>
  <w:style w:type="character" w:customStyle="1" w:styleId="16">
    <w:name w:val="页眉 Char"/>
    <w:basedOn w:val="10"/>
    <w:link w:val="7"/>
    <w:qFormat/>
    <w:uiPriority w:val="99"/>
    <w:rPr>
      <w:rFonts w:ascii="宋体" w:hAnsi="宋体" w:eastAsia="宋体" w:cs="宋体"/>
      <w:sz w:val="18"/>
      <w:szCs w:val="18"/>
      <w:lang w:val="zh-CN" w:eastAsia="zh-CN" w:bidi="zh-CN"/>
    </w:rPr>
  </w:style>
  <w:style w:type="character" w:customStyle="1" w:styleId="17">
    <w:name w:val="页脚 Char"/>
    <w:basedOn w:val="10"/>
    <w:link w:val="6"/>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8458</Words>
  <Characters>9578</Characters>
  <Lines>180</Lines>
  <Paragraphs>50</Paragraphs>
  <TotalTime>12</TotalTime>
  <ScaleCrop>false</ScaleCrop>
  <LinksUpToDate>false</LinksUpToDate>
  <CharactersWithSpaces>9893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2021-12-10T03:08:00Z</dcterms:created>
  <dc:creator>微软用户</dc:creator>
  <cp:lastModifiedBy>开心果</cp:lastModifiedBy>
  <cp:lastPrinted>2025-11-25T07:52:50Z</cp:lastPrinted>
  <dcterms:modified xsi:type="dcterms:W3CDTF">2025-11-25T07:53:08Z</dcterms:modified>
  <dc:title>会议通知</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2021-07-17T00:00:00Z</vt:filetime>
  </property>
  <property fmtid="{D5CDD505-2E9C-101B-9397-08002B2CF9AE}" pid="3" name="Creator">
    <vt:lpwstr>Microsoft® Word 2016</vt:lpwstr>
  </property>
  <property fmtid="{D5CDD505-2E9C-101B-9397-08002B2CF9AE}" pid="4" name="LastSaved">
    <vt:filetime>2021-12-09T00:00:00Z</vt:filetime>
  </property>
  <property fmtid="{D5CDD505-2E9C-101B-9397-08002B2CF9AE}" pid="5" name="KSOProductBuildVer">
    <vt:lpwstr>2052-12.1.0.23542</vt:lpwstr>
  </property>
  <property fmtid="{D5CDD505-2E9C-101B-9397-08002B2CF9AE}" pid="6" name="ICV">
    <vt:lpwstr>CF707CFC15134C2FA65200CF4AB175AF_12</vt:lpwstr>
  </property>
  <property fmtid="{D5CDD505-2E9C-101B-9397-08002B2CF9AE}" pid="7" name="KSOTemplateDocerSaveRecord">
    <vt:lpwstr>eyJoZGlkIjoiM2FhNjcyMjA2M2RlMTU2NjdmMTQyMmZlNDQzYThmMWUiLCJ1c2VySWQiOiI0MTcwOTAyOTcifQ==</vt:lpwstr>
  </property>
</Properties>
</file>